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456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Default="00201426" w:rsidP="00456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456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0BFC" w:rsidRPr="003F0BFC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="003F0BFC" w:rsidRPr="003F0BF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F0BFC" w:rsidRPr="003F0BFC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C01C0">
        <w:rPr>
          <w:rFonts w:ascii="Times New Roman" w:hAnsi="Times New Roman" w:cs="Times New Roman"/>
          <w:sz w:val="28"/>
          <w:szCs w:val="28"/>
        </w:rPr>
        <w:t xml:space="preserve"> за 20</w:t>
      </w:r>
      <w:r w:rsidR="007120B8">
        <w:rPr>
          <w:rFonts w:ascii="Times New Roman" w:hAnsi="Times New Roman" w:cs="Times New Roman"/>
          <w:sz w:val="28"/>
          <w:szCs w:val="28"/>
        </w:rPr>
        <w:t>20</w:t>
      </w:r>
      <w:r w:rsidR="006C01C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324EA" w:rsidRDefault="007324EA" w:rsidP="00456C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01426" w:rsidRDefault="00D3669D" w:rsidP="00456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«</w:t>
      </w:r>
      <w:r w:rsidR="003F0BFC" w:rsidRPr="003F0BFC">
        <w:rPr>
          <w:rFonts w:ascii="Times New Roman" w:hAnsi="Times New Roman" w:cs="Times New Roman"/>
          <w:sz w:val="28"/>
          <w:szCs w:val="28"/>
        </w:rPr>
        <w:t>Развитие транспортной системы, содержание и благоустройство территории ЗАТО Ж</w:t>
      </w:r>
      <w:r w:rsidR="003F0BFC" w:rsidRPr="003F0BFC">
        <w:rPr>
          <w:rFonts w:ascii="Times New Roman" w:hAnsi="Times New Roman" w:cs="Times New Roman"/>
          <w:sz w:val="28"/>
          <w:szCs w:val="28"/>
        </w:rPr>
        <w:t>е</w:t>
      </w:r>
      <w:r w:rsidR="003F0BFC" w:rsidRPr="003F0BFC">
        <w:rPr>
          <w:rFonts w:ascii="Times New Roman" w:hAnsi="Times New Roman" w:cs="Times New Roman"/>
          <w:sz w:val="28"/>
          <w:szCs w:val="28"/>
        </w:rPr>
        <w:t>лезногорск</w:t>
      </w:r>
      <w:r w:rsidR="00B56F24" w:rsidRPr="007324EA">
        <w:rPr>
          <w:rFonts w:ascii="Times New Roman" w:hAnsi="Times New Roman" w:cs="Times New Roman"/>
          <w:sz w:val="28"/>
          <w:szCs w:val="28"/>
        </w:rPr>
        <w:t>»</w:t>
      </w:r>
      <w:r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7324EA">
        <w:rPr>
          <w:rFonts w:ascii="Times New Roman" w:hAnsi="Times New Roman" w:cs="Times New Roman"/>
          <w:sz w:val="28"/>
          <w:szCs w:val="28"/>
        </w:rPr>
        <w:t>на 20</w:t>
      </w:r>
      <w:r w:rsidR="007120B8">
        <w:rPr>
          <w:rFonts w:ascii="Times New Roman" w:hAnsi="Times New Roman" w:cs="Times New Roman"/>
          <w:sz w:val="28"/>
          <w:szCs w:val="28"/>
        </w:rPr>
        <w:t>20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324EA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7120B8">
        <w:rPr>
          <w:rFonts w:ascii="Times New Roman" w:hAnsi="Times New Roman" w:cs="Times New Roman"/>
          <w:sz w:val="28"/>
          <w:szCs w:val="28"/>
        </w:rPr>
        <w:t>490 468 358,21</w:t>
      </w:r>
      <w:r w:rsidR="007A7968" w:rsidRPr="007A7968">
        <w:rPr>
          <w:rFonts w:ascii="Times New Roman" w:hAnsi="Times New Roman" w:cs="Times New Roman"/>
          <w:sz w:val="28"/>
          <w:szCs w:val="28"/>
        </w:rPr>
        <w:t xml:space="preserve"> руб.</w:t>
      </w:r>
      <w:r w:rsidR="003F0BFC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7120B8">
        <w:rPr>
          <w:rFonts w:ascii="Times New Roman" w:hAnsi="Times New Roman" w:cs="Times New Roman"/>
          <w:sz w:val="28"/>
          <w:szCs w:val="28"/>
        </w:rPr>
        <w:t xml:space="preserve">142 702 100,00 </w:t>
      </w:r>
      <w:r w:rsidR="003F0BFC">
        <w:rPr>
          <w:rFonts w:ascii="Times New Roman" w:hAnsi="Times New Roman" w:cs="Times New Roman"/>
          <w:sz w:val="28"/>
          <w:szCs w:val="28"/>
        </w:rPr>
        <w:t xml:space="preserve">руб. за счет средств субсидий из бюджета Красноярского края и </w:t>
      </w:r>
      <w:r w:rsidR="007120B8">
        <w:rPr>
          <w:rFonts w:ascii="Times New Roman" w:hAnsi="Times New Roman" w:cs="Times New Roman"/>
          <w:sz w:val="28"/>
          <w:szCs w:val="28"/>
        </w:rPr>
        <w:t>347 766 258,21</w:t>
      </w:r>
      <w:r w:rsidR="00CB711D" w:rsidRPr="00CB711D">
        <w:rPr>
          <w:rFonts w:ascii="Times New Roman" w:hAnsi="Times New Roman" w:cs="Times New Roman"/>
          <w:sz w:val="28"/>
          <w:szCs w:val="28"/>
        </w:rPr>
        <w:t xml:space="preserve"> </w:t>
      </w:r>
      <w:r w:rsidR="003F0BFC">
        <w:rPr>
          <w:rFonts w:ascii="Times New Roman" w:hAnsi="Times New Roman" w:cs="Times New Roman"/>
          <w:sz w:val="28"/>
          <w:szCs w:val="28"/>
        </w:rPr>
        <w:t>руб. за счет средств местного бюджета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. </w:t>
      </w:r>
      <w:r w:rsidR="00952A16">
        <w:rPr>
          <w:rFonts w:ascii="Times New Roman" w:hAnsi="Times New Roman" w:cs="Times New Roman"/>
          <w:sz w:val="28"/>
          <w:szCs w:val="28"/>
        </w:rPr>
        <w:t>В</w:t>
      </w:r>
      <w:r w:rsidR="00952A16" w:rsidRPr="007324EA">
        <w:rPr>
          <w:rFonts w:ascii="Times New Roman" w:hAnsi="Times New Roman" w:cs="Times New Roman"/>
          <w:sz w:val="28"/>
          <w:szCs w:val="28"/>
        </w:rPr>
        <w:t>виду экономии бюджетных средств при проведении торгов на выполнение работ по муниц</w:t>
      </w:r>
      <w:r w:rsidR="00952A16" w:rsidRPr="007324EA">
        <w:rPr>
          <w:rFonts w:ascii="Times New Roman" w:hAnsi="Times New Roman" w:cs="Times New Roman"/>
          <w:sz w:val="28"/>
          <w:szCs w:val="28"/>
        </w:rPr>
        <w:t>и</w:t>
      </w:r>
      <w:r w:rsidR="00952A16" w:rsidRPr="007324EA">
        <w:rPr>
          <w:rFonts w:ascii="Times New Roman" w:hAnsi="Times New Roman" w:cs="Times New Roman"/>
          <w:sz w:val="28"/>
          <w:szCs w:val="28"/>
        </w:rPr>
        <w:t>пальной программе</w:t>
      </w:r>
      <w:r w:rsidR="007A7968">
        <w:rPr>
          <w:rFonts w:ascii="Times New Roman" w:hAnsi="Times New Roman" w:cs="Times New Roman"/>
          <w:sz w:val="28"/>
          <w:szCs w:val="28"/>
        </w:rPr>
        <w:t xml:space="preserve">, принимая во внимание фактические объемы выполненных работ, </w:t>
      </w:r>
      <w:r w:rsidR="00952A16">
        <w:rPr>
          <w:rFonts w:ascii="Times New Roman" w:hAnsi="Times New Roman" w:cs="Times New Roman"/>
          <w:sz w:val="28"/>
          <w:szCs w:val="28"/>
        </w:rPr>
        <w:t xml:space="preserve"> ф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актическое </w:t>
      </w:r>
      <w:r w:rsidR="003F0BFC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7A796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F0BFC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7A7968" w:rsidRPr="007A7968">
        <w:rPr>
          <w:rFonts w:ascii="Times New Roman" w:hAnsi="Times New Roman" w:cs="Times New Roman"/>
          <w:sz w:val="28"/>
          <w:szCs w:val="28"/>
        </w:rPr>
        <w:t>4</w:t>
      </w:r>
      <w:r w:rsidR="007120B8">
        <w:rPr>
          <w:rFonts w:ascii="Times New Roman" w:hAnsi="Times New Roman" w:cs="Times New Roman"/>
          <w:sz w:val="28"/>
          <w:szCs w:val="28"/>
        </w:rPr>
        <w:t>66 905 544,85</w:t>
      </w:r>
      <w:r w:rsidR="00CB711D" w:rsidRPr="00CB711D">
        <w:rPr>
          <w:rFonts w:ascii="Times New Roman" w:hAnsi="Times New Roman" w:cs="Times New Roman"/>
          <w:sz w:val="28"/>
          <w:szCs w:val="28"/>
        </w:rPr>
        <w:t xml:space="preserve"> </w:t>
      </w:r>
      <w:r w:rsidR="003F0BFC">
        <w:rPr>
          <w:rFonts w:ascii="Times New Roman" w:hAnsi="Times New Roman" w:cs="Times New Roman"/>
          <w:sz w:val="28"/>
          <w:szCs w:val="28"/>
        </w:rPr>
        <w:t>руб. (9</w:t>
      </w:r>
      <w:r w:rsidR="007120B8">
        <w:rPr>
          <w:rFonts w:ascii="Times New Roman" w:hAnsi="Times New Roman" w:cs="Times New Roman"/>
          <w:sz w:val="28"/>
          <w:szCs w:val="28"/>
        </w:rPr>
        <w:t>5</w:t>
      </w:r>
      <w:r w:rsidR="003F0BFC">
        <w:rPr>
          <w:rFonts w:ascii="Times New Roman" w:hAnsi="Times New Roman" w:cs="Times New Roman"/>
          <w:sz w:val="28"/>
          <w:szCs w:val="28"/>
        </w:rPr>
        <w:t>,</w:t>
      </w:r>
      <w:r w:rsidR="007A7968">
        <w:rPr>
          <w:rFonts w:ascii="Times New Roman" w:hAnsi="Times New Roman" w:cs="Times New Roman"/>
          <w:sz w:val="28"/>
          <w:szCs w:val="28"/>
        </w:rPr>
        <w:t>2</w:t>
      </w:r>
      <w:r w:rsidR="003F0BFC">
        <w:rPr>
          <w:rFonts w:ascii="Times New Roman" w:hAnsi="Times New Roman" w:cs="Times New Roman"/>
          <w:sz w:val="28"/>
          <w:szCs w:val="28"/>
        </w:rPr>
        <w:t xml:space="preserve">%), в том числе </w:t>
      </w:r>
      <w:r w:rsidR="007120B8">
        <w:rPr>
          <w:rFonts w:ascii="Times New Roman" w:hAnsi="Times New Roman" w:cs="Times New Roman"/>
          <w:sz w:val="28"/>
          <w:szCs w:val="28"/>
        </w:rPr>
        <w:t xml:space="preserve">142 702 100,00 </w:t>
      </w:r>
      <w:r w:rsidR="003F0BFC">
        <w:rPr>
          <w:rFonts w:ascii="Times New Roman" w:hAnsi="Times New Roman" w:cs="Times New Roman"/>
          <w:sz w:val="28"/>
          <w:szCs w:val="28"/>
        </w:rPr>
        <w:t>руб.</w:t>
      </w:r>
      <w:r w:rsidR="003F0BFC" w:rsidRPr="003F0BFC">
        <w:rPr>
          <w:rFonts w:ascii="Times New Roman" w:hAnsi="Times New Roman" w:cs="Times New Roman"/>
          <w:sz w:val="28"/>
          <w:szCs w:val="28"/>
        </w:rPr>
        <w:t xml:space="preserve"> (</w:t>
      </w:r>
      <w:r w:rsidR="00CB711D">
        <w:rPr>
          <w:rFonts w:ascii="Times New Roman" w:hAnsi="Times New Roman" w:cs="Times New Roman"/>
          <w:sz w:val="28"/>
          <w:szCs w:val="28"/>
        </w:rPr>
        <w:t xml:space="preserve">100,0 </w:t>
      </w:r>
      <w:r w:rsidR="003F0BFC">
        <w:rPr>
          <w:rFonts w:ascii="Times New Roman" w:hAnsi="Times New Roman" w:cs="Times New Roman"/>
          <w:sz w:val="28"/>
          <w:szCs w:val="28"/>
        </w:rPr>
        <w:t xml:space="preserve">% </w:t>
      </w:r>
      <w:r w:rsidR="003F0BFC" w:rsidRPr="003F0BFC">
        <w:rPr>
          <w:rFonts w:ascii="Times New Roman" w:hAnsi="Times New Roman" w:cs="Times New Roman"/>
          <w:sz w:val="28"/>
          <w:szCs w:val="28"/>
        </w:rPr>
        <w:t>)</w:t>
      </w:r>
      <w:r w:rsidR="003F0BFC">
        <w:rPr>
          <w:rFonts w:ascii="Times New Roman" w:hAnsi="Times New Roman" w:cs="Times New Roman"/>
          <w:sz w:val="28"/>
          <w:szCs w:val="28"/>
        </w:rPr>
        <w:t xml:space="preserve"> за счет средств субсидий из бюджета Красноярского края и </w:t>
      </w:r>
      <w:r w:rsidR="007120B8">
        <w:rPr>
          <w:rFonts w:ascii="Times New Roman" w:hAnsi="Times New Roman" w:cs="Times New Roman"/>
          <w:sz w:val="28"/>
          <w:szCs w:val="28"/>
        </w:rPr>
        <w:t>324 203 444,85</w:t>
      </w:r>
      <w:r w:rsidR="00CB711D" w:rsidRPr="00CB711D">
        <w:rPr>
          <w:rFonts w:ascii="Times New Roman" w:hAnsi="Times New Roman" w:cs="Times New Roman"/>
          <w:sz w:val="28"/>
          <w:szCs w:val="28"/>
        </w:rPr>
        <w:t xml:space="preserve"> </w:t>
      </w:r>
      <w:r w:rsidR="003F0BFC">
        <w:rPr>
          <w:rFonts w:ascii="Times New Roman" w:hAnsi="Times New Roman" w:cs="Times New Roman"/>
          <w:sz w:val="28"/>
          <w:szCs w:val="28"/>
        </w:rPr>
        <w:t>(</w:t>
      </w:r>
      <w:r w:rsidR="003F0BFC" w:rsidRPr="003F0BFC">
        <w:rPr>
          <w:rFonts w:ascii="Times New Roman" w:hAnsi="Times New Roman" w:cs="Times New Roman"/>
          <w:sz w:val="28"/>
          <w:szCs w:val="28"/>
        </w:rPr>
        <w:t>9</w:t>
      </w:r>
      <w:r w:rsidR="007120B8">
        <w:rPr>
          <w:rFonts w:ascii="Times New Roman" w:hAnsi="Times New Roman" w:cs="Times New Roman"/>
          <w:sz w:val="28"/>
          <w:szCs w:val="28"/>
        </w:rPr>
        <w:t>3</w:t>
      </w:r>
      <w:r w:rsidR="003F0BFC">
        <w:rPr>
          <w:rFonts w:ascii="Times New Roman" w:hAnsi="Times New Roman" w:cs="Times New Roman"/>
          <w:sz w:val="28"/>
          <w:szCs w:val="28"/>
        </w:rPr>
        <w:t>,</w:t>
      </w:r>
      <w:r w:rsidR="007120B8">
        <w:rPr>
          <w:rFonts w:ascii="Times New Roman" w:hAnsi="Times New Roman" w:cs="Times New Roman"/>
          <w:sz w:val="28"/>
          <w:szCs w:val="28"/>
        </w:rPr>
        <w:t>2</w:t>
      </w:r>
      <w:r w:rsidR="003F0BFC" w:rsidRPr="003F0BFC">
        <w:rPr>
          <w:rFonts w:ascii="Times New Roman" w:hAnsi="Times New Roman" w:cs="Times New Roman"/>
          <w:sz w:val="28"/>
          <w:szCs w:val="28"/>
        </w:rPr>
        <w:t xml:space="preserve">%) </w:t>
      </w:r>
      <w:r w:rsidR="003F0BFC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  <w:r w:rsidR="003F0BFC" w:rsidRPr="007324EA">
        <w:rPr>
          <w:rFonts w:ascii="Times New Roman" w:hAnsi="Times New Roman" w:cs="Times New Roman"/>
          <w:sz w:val="28"/>
          <w:szCs w:val="28"/>
        </w:rPr>
        <w:t>.</w:t>
      </w:r>
    </w:p>
    <w:p w:rsidR="003F0BFC" w:rsidRDefault="003F0BFC" w:rsidP="00456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исполнение подпрограмм муниципальной программы выгл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дит следующим образом:</w:t>
      </w: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709"/>
        <w:gridCol w:w="3544"/>
        <w:gridCol w:w="2126"/>
        <w:gridCol w:w="1985"/>
        <w:gridCol w:w="1275"/>
      </w:tblGrid>
      <w:tr w:rsidR="003F0BFC" w:rsidRPr="007A7968" w:rsidTr="007A7968">
        <w:tc>
          <w:tcPr>
            <w:tcW w:w="709" w:type="dxa"/>
            <w:vAlign w:val="center"/>
          </w:tcPr>
          <w:p w:rsidR="003F0BFC" w:rsidRPr="007A7968" w:rsidRDefault="003F0BFC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№</w:t>
            </w:r>
          </w:p>
          <w:p w:rsidR="003F0BFC" w:rsidRPr="007A7968" w:rsidRDefault="003F0BFC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3544" w:type="dxa"/>
            <w:vAlign w:val="center"/>
          </w:tcPr>
          <w:p w:rsidR="003F0BFC" w:rsidRPr="007A7968" w:rsidRDefault="003F0BFC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Наименование подпрограммы</w:t>
            </w:r>
          </w:p>
        </w:tc>
        <w:tc>
          <w:tcPr>
            <w:tcW w:w="2126" w:type="dxa"/>
            <w:vAlign w:val="center"/>
          </w:tcPr>
          <w:p w:rsidR="003F0BFC" w:rsidRPr="007A7968" w:rsidRDefault="00B20380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Предусмотрено средств</w:t>
            </w:r>
            <w:r w:rsidR="00182D76" w:rsidRPr="007A7968">
              <w:rPr>
                <w:rFonts w:ascii="Times New Roman" w:hAnsi="Times New Roman" w:cs="Times New Roman"/>
                <w:szCs w:val="20"/>
              </w:rPr>
              <w:t>, руб.</w:t>
            </w:r>
          </w:p>
        </w:tc>
        <w:tc>
          <w:tcPr>
            <w:tcW w:w="1985" w:type="dxa"/>
            <w:vAlign w:val="center"/>
          </w:tcPr>
          <w:p w:rsidR="003F0BFC" w:rsidRPr="007A7968" w:rsidRDefault="00B20380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Кассовые расходы</w:t>
            </w:r>
            <w:r w:rsidR="00182D76" w:rsidRPr="007A7968">
              <w:rPr>
                <w:rFonts w:ascii="Times New Roman" w:hAnsi="Times New Roman" w:cs="Times New Roman"/>
                <w:szCs w:val="20"/>
              </w:rPr>
              <w:t>, руб.</w:t>
            </w:r>
          </w:p>
        </w:tc>
        <w:tc>
          <w:tcPr>
            <w:tcW w:w="1275" w:type="dxa"/>
            <w:vAlign w:val="center"/>
          </w:tcPr>
          <w:p w:rsidR="003F0BFC" w:rsidRPr="007A7968" w:rsidRDefault="00B20380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Процент исполнения</w:t>
            </w:r>
          </w:p>
        </w:tc>
      </w:tr>
      <w:tr w:rsidR="007A7968" w:rsidRPr="007A7968" w:rsidTr="007A7968">
        <w:tc>
          <w:tcPr>
            <w:tcW w:w="709" w:type="dxa"/>
            <w:vAlign w:val="center"/>
          </w:tcPr>
          <w:p w:rsidR="007A7968" w:rsidRPr="007A7968" w:rsidRDefault="007A7968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7A7968" w:rsidRPr="007A7968" w:rsidRDefault="007A7968" w:rsidP="00456C93">
            <w:pPr>
              <w:ind w:left="-108" w:firstLine="34"/>
              <w:jc w:val="both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Осуществление дорожной деятел</w:t>
            </w:r>
            <w:r w:rsidRPr="007A7968">
              <w:rPr>
                <w:rFonts w:ascii="Times New Roman" w:hAnsi="Times New Roman" w:cs="Times New Roman"/>
                <w:szCs w:val="20"/>
              </w:rPr>
              <w:t>ь</w:t>
            </w:r>
            <w:r w:rsidRPr="007A7968">
              <w:rPr>
                <w:rFonts w:ascii="Times New Roman" w:hAnsi="Times New Roman" w:cs="Times New Roman"/>
                <w:szCs w:val="20"/>
              </w:rPr>
              <w:t>ности в отношении автомобильных дорог местного значения</w:t>
            </w:r>
          </w:p>
        </w:tc>
        <w:tc>
          <w:tcPr>
            <w:tcW w:w="2126" w:type="dxa"/>
            <w:vAlign w:val="center"/>
          </w:tcPr>
          <w:p w:rsidR="007A7968" w:rsidRPr="007A7968" w:rsidRDefault="007120B8" w:rsidP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282 200 896,99</w:t>
            </w:r>
          </w:p>
        </w:tc>
        <w:tc>
          <w:tcPr>
            <w:tcW w:w="1985" w:type="dxa"/>
            <w:vAlign w:val="center"/>
          </w:tcPr>
          <w:p w:rsidR="007A7968" w:rsidRPr="007A7968" w:rsidRDefault="007120B8" w:rsidP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269 610 435,74</w:t>
            </w:r>
          </w:p>
        </w:tc>
        <w:tc>
          <w:tcPr>
            <w:tcW w:w="1275" w:type="dxa"/>
            <w:vAlign w:val="center"/>
          </w:tcPr>
          <w:p w:rsidR="007A7968" w:rsidRPr="007A7968" w:rsidRDefault="007A7968" w:rsidP="00A63FE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A7968">
              <w:rPr>
                <w:rFonts w:ascii="Times New Roman" w:hAnsi="Times New Roman" w:cs="Times New Roman"/>
                <w:bCs/>
                <w:szCs w:val="20"/>
              </w:rPr>
              <w:t>9</w:t>
            </w:r>
            <w:r w:rsidR="00A63FEB">
              <w:rPr>
                <w:rFonts w:ascii="Times New Roman" w:hAnsi="Times New Roman" w:cs="Times New Roman"/>
                <w:bCs/>
                <w:szCs w:val="20"/>
              </w:rPr>
              <w:t>5</w:t>
            </w:r>
            <w:r w:rsidRPr="007A7968">
              <w:rPr>
                <w:rFonts w:ascii="Times New Roman" w:hAnsi="Times New Roman" w:cs="Times New Roman"/>
                <w:bCs/>
                <w:szCs w:val="20"/>
              </w:rPr>
              <w:t>,</w:t>
            </w:r>
            <w:r w:rsidR="00A63FEB">
              <w:rPr>
                <w:rFonts w:ascii="Times New Roman" w:hAnsi="Times New Roman" w:cs="Times New Roman"/>
                <w:bCs/>
                <w:szCs w:val="20"/>
              </w:rPr>
              <w:t>5%</w:t>
            </w:r>
          </w:p>
        </w:tc>
      </w:tr>
      <w:tr w:rsidR="007120B8" w:rsidRPr="007A7968" w:rsidTr="007A7968">
        <w:tc>
          <w:tcPr>
            <w:tcW w:w="709" w:type="dxa"/>
            <w:vAlign w:val="center"/>
          </w:tcPr>
          <w:p w:rsidR="007120B8" w:rsidRPr="007A7968" w:rsidRDefault="007120B8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:rsidR="007120B8" w:rsidRPr="007A7968" w:rsidRDefault="007120B8" w:rsidP="00456C93">
            <w:pPr>
              <w:ind w:left="-108" w:firstLine="34"/>
              <w:jc w:val="both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Повышение безопасности дорожн</w:t>
            </w:r>
            <w:r w:rsidRPr="007A7968">
              <w:rPr>
                <w:rFonts w:ascii="Times New Roman" w:hAnsi="Times New Roman" w:cs="Times New Roman"/>
                <w:szCs w:val="20"/>
              </w:rPr>
              <w:t>о</w:t>
            </w:r>
            <w:r w:rsidRPr="007A7968">
              <w:rPr>
                <w:rFonts w:ascii="Times New Roman" w:hAnsi="Times New Roman" w:cs="Times New Roman"/>
                <w:szCs w:val="20"/>
              </w:rPr>
              <w:t>го движения на дорогах общего пользования местного значения</w:t>
            </w:r>
          </w:p>
        </w:tc>
        <w:tc>
          <w:tcPr>
            <w:tcW w:w="2126" w:type="dxa"/>
            <w:vAlign w:val="center"/>
          </w:tcPr>
          <w:p w:rsidR="007120B8" w:rsidRPr="00A63FEB" w:rsidRDefault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6 327 324,00</w:t>
            </w:r>
          </w:p>
        </w:tc>
        <w:tc>
          <w:tcPr>
            <w:tcW w:w="1985" w:type="dxa"/>
            <w:vAlign w:val="center"/>
          </w:tcPr>
          <w:p w:rsidR="007120B8" w:rsidRPr="00A63FEB" w:rsidRDefault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5 534 803,84</w:t>
            </w:r>
          </w:p>
        </w:tc>
        <w:tc>
          <w:tcPr>
            <w:tcW w:w="1275" w:type="dxa"/>
            <w:vAlign w:val="center"/>
          </w:tcPr>
          <w:p w:rsidR="007120B8" w:rsidRPr="007A7968" w:rsidRDefault="00A63FEB" w:rsidP="00456C93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87</w:t>
            </w:r>
            <w:r w:rsidR="007120B8" w:rsidRPr="007A7968">
              <w:rPr>
                <w:rFonts w:ascii="Times New Roman" w:hAnsi="Times New Roman" w:cs="Times New Roman"/>
                <w:bCs/>
                <w:szCs w:val="20"/>
              </w:rPr>
              <w:t>,5%</w:t>
            </w:r>
          </w:p>
        </w:tc>
      </w:tr>
      <w:tr w:rsidR="007120B8" w:rsidRPr="007A7968" w:rsidTr="007A7968">
        <w:tc>
          <w:tcPr>
            <w:tcW w:w="709" w:type="dxa"/>
            <w:vAlign w:val="center"/>
          </w:tcPr>
          <w:p w:rsidR="007120B8" w:rsidRPr="007A7968" w:rsidRDefault="007120B8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:rsidR="007120B8" w:rsidRPr="007A7968" w:rsidRDefault="007120B8" w:rsidP="00456C93">
            <w:pPr>
              <w:ind w:left="-108" w:firstLine="34"/>
              <w:jc w:val="both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Создание условий для предоста</w:t>
            </w:r>
            <w:r w:rsidRPr="007A7968">
              <w:rPr>
                <w:rFonts w:ascii="Times New Roman" w:hAnsi="Times New Roman" w:cs="Times New Roman"/>
                <w:szCs w:val="20"/>
              </w:rPr>
              <w:t>в</w:t>
            </w:r>
            <w:r w:rsidRPr="007A7968">
              <w:rPr>
                <w:rFonts w:ascii="Times New Roman" w:hAnsi="Times New Roman" w:cs="Times New Roman"/>
                <w:szCs w:val="20"/>
              </w:rPr>
              <w:t>ления транспортных услуг насел</w:t>
            </w:r>
            <w:r w:rsidRPr="007A7968">
              <w:rPr>
                <w:rFonts w:ascii="Times New Roman" w:hAnsi="Times New Roman" w:cs="Times New Roman"/>
                <w:szCs w:val="20"/>
              </w:rPr>
              <w:t>е</w:t>
            </w:r>
            <w:r w:rsidRPr="007A7968">
              <w:rPr>
                <w:rFonts w:ascii="Times New Roman" w:hAnsi="Times New Roman" w:cs="Times New Roman"/>
                <w:szCs w:val="20"/>
              </w:rPr>
              <w:t>нию и организация транспортного обслуживания населения</w:t>
            </w:r>
          </w:p>
        </w:tc>
        <w:tc>
          <w:tcPr>
            <w:tcW w:w="2126" w:type="dxa"/>
            <w:vAlign w:val="center"/>
          </w:tcPr>
          <w:p w:rsidR="007120B8" w:rsidRPr="00A63FEB" w:rsidRDefault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119 276 500,00</w:t>
            </w:r>
          </w:p>
        </w:tc>
        <w:tc>
          <w:tcPr>
            <w:tcW w:w="1985" w:type="dxa"/>
            <w:vAlign w:val="center"/>
          </w:tcPr>
          <w:p w:rsidR="007120B8" w:rsidRPr="00A63FEB" w:rsidRDefault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110 319 358,32</w:t>
            </w:r>
          </w:p>
        </w:tc>
        <w:tc>
          <w:tcPr>
            <w:tcW w:w="1275" w:type="dxa"/>
            <w:vAlign w:val="center"/>
          </w:tcPr>
          <w:p w:rsidR="007120B8" w:rsidRPr="007A7968" w:rsidRDefault="007120B8" w:rsidP="00A63FE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A7968">
              <w:rPr>
                <w:rFonts w:ascii="Times New Roman" w:hAnsi="Times New Roman" w:cs="Times New Roman"/>
                <w:bCs/>
                <w:szCs w:val="20"/>
              </w:rPr>
              <w:t>9</w:t>
            </w:r>
            <w:r w:rsidR="00A63FEB">
              <w:rPr>
                <w:rFonts w:ascii="Times New Roman" w:hAnsi="Times New Roman" w:cs="Times New Roman"/>
                <w:bCs/>
                <w:szCs w:val="20"/>
              </w:rPr>
              <w:t>2</w:t>
            </w:r>
            <w:r w:rsidRPr="007A7968">
              <w:rPr>
                <w:rFonts w:ascii="Times New Roman" w:hAnsi="Times New Roman" w:cs="Times New Roman"/>
                <w:bCs/>
                <w:szCs w:val="20"/>
              </w:rPr>
              <w:t>,</w:t>
            </w:r>
            <w:r w:rsidR="00A63FEB">
              <w:rPr>
                <w:rFonts w:ascii="Times New Roman" w:hAnsi="Times New Roman" w:cs="Times New Roman"/>
                <w:bCs/>
                <w:szCs w:val="20"/>
              </w:rPr>
              <w:t>5</w:t>
            </w:r>
            <w:r w:rsidRPr="007A7968">
              <w:rPr>
                <w:rFonts w:ascii="Times New Roman" w:hAnsi="Times New Roman" w:cs="Times New Roman"/>
                <w:bCs/>
                <w:szCs w:val="20"/>
              </w:rPr>
              <w:t>%</w:t>
            </w:r>
          </w:p>
        </w:tc>
      </w:tr>
      <w:tr w:rsidR="007120B8" w:rsidRPr="007A7968" w:rsidTr="007A7968">
        <w:tc>
          <w:tcPr>
            <w:tcW w:w="709" w:type="dxa"/>
            <w:vAlign w:val="center"/>
          </w:tcPr>
          <w:p w:rsidR="007120B8" w:rsidRPr="007A7968" w:rsidRDefault="007120B8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:rsidR="007120B8" w:rsidRPr="007A7968" w:rsidRDefault="007120B8" w:rsidP="00456C93">
            <w:pPr>
              <w:ind w:left="-108" w:firstLine="34"/>
              <w:jc w:val="both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Организация благоустройства те</w:t>
            </w:r>
            <w:r w:rsidRPr="007A7968">
              <w:rPr>
                <w:rFonts w:ascii="Times New Roman" w:hAnsi="Times New Roman" w:cs="Times New Roman"/>
                <w:szCs w:val="20"/>
              </w:rPr>
              <w:t>р</w:t>
            </w:r>
            <w:r w:rsidRPr="007A7968">
              <w:rPr>
                <w:rFonts w:ascii="Times New Roman" w:hAnsi="Times New Roman" w:cs="Times New Roman"/>
                <w:szCs w:val="20"/>
              </w:rPr>
              <w:t>ритории</w:t>
            </w:r>
          </w:p>
        </w:tc>
        <w:tc>
          <w:tcPr>
            <w:tcW w:w="2126" w:type="dxa"/>
            <w:vAlign w:val="center"/>
          </w:tcPr>
          <w:p w:rsidR="007120B8" w:rsidRPr="00A63FEB" w:rsidRDefault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82 663 637,22</w:t>
            </w:r>
          </w:p>
        </w:tc>
        <w:tc>
          <w:tcPr>
            <w:tcW w:w="1985" w:type="dxa"/>
            <w:vAlign w:val="center"/>
          </w:tcPr>
          <w:p w:rsidR="007120B8" w:rsidRPr="00A63FEB" w:rsidRDefault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81 440 946,95</w:t>
            </w:r>
          </w:p>
        </w:tc>
        <w:tc>
          <w:tcPr>
            <w:tcW w:w="1275" w:type="dxa"/>
            <w:vAlign w:val="center"/>
          </w:tcPr>
          <w:p w:rsidR="007120B8" w:rsidRPr="007A7968" w:rsidRDefault="007120B8" w:rsidP="00A63FE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A7968">
              <w:rPr>
                <w:rFonts w:ascii="Times New Roman" w:hAnsi="Times New Roman" w:cs="Times New Roman"/>
                <w:bCs/>
                <w:szCs w:val="20"/>
              </w:rPr>
              <w:t>98,</w:t>
            </w:r>
            <w:r w:rsidR="00A63FEB">
              <w:rPr>
                <w:rFonts w:ascii="Times New Roman" w:hAnsi="Times New Roman" w:cs="Times New Roman"/>
                <w:bCs/>
                <w:szCs w:val="20"/>
              </w:rPr>
              <w:t>5</w:t>
            </w:r>
            <w:r w:rsidRPr="007A7968">
              <w:rPr>
                <w:rFonts w:ascii="Times New Roman" w:hAnsi="Times New Roman" w:cs="Times New Roman"/>
                <w:bCs/>
                <w:szCs w:val="20"/>
              </w:rPr>
              <w:t>%</w:t>
            </w:r>
          </w:p>
        </w:tc>
      </w:tr>
      <w:tr w:rsidR="007120B8" w:rsidRPr="007A7968" w:rsidTr="007A7968">
        <w:tc>
          <w:tcPr>
            <w:tcW w:w="709" w:type="dxa"/>
            <w:vAlign w:val="center"/>
          </w:tcPr>
          <w:p w:rsidR="007120B8" w:rsidRPr="007A7968" w:rsidRDefault="007120B8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7120B8" w:rsidRPr="007A7968" w:rsidRDefault="007120B8" w:rsidP="00456C93">
            <w:pPr>
              <w:ind w:left="-108" w:firstLine="34"/>
              <w:jc w:val="center"/>
              <w:rPr>
                <w:rFonts w:ascii="Times New Roman" w:hAnsi="Times New Roman" w:cs="Times New Roman"/>
                <w:szCs w:val="20"/>
              </w:rPr>
            </w:pPr>
            <w:r w:rsidRPr="007A7968">
              <w:rPr>
                <w:rFonts w:ascii="Times New Roman" w:hAnsi="Times New Roman" w:cs="Times New Roman"/>
                <w:szCs w:val="20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7120B8" w:rsidRPr="00A63FEB" w:rsidRDefault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490 468 358,21</w:t>
            </w:r>
          </w:p>
        </w:tc>
        <w:tc>
          <w:tcPr>
            <w:tcW w:w="1985" w:type="dxa"/>
            <w:vAlign w:val="center"/>
          </w:tcPr>
          <w:p w:rsidR="007120B8" w:rsidRPr="00A63FEB" w:rsidRDefault="007120B8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63FEB">
              <w:rPr>
                <w:rFonts w:ascii="Times New Roman" w:hAnsi="Times New Roman" w:cs="Times New Roman"/>
                <w:bCs/>
                <w:szCs w:val="20"/>
              </w:rPr>
              <w:t>466 905 544,85</w:t>
            </w:r>
          </w:p>
        </w:tc>
        <w:tc>
          <w:tcPr>
            <w:tcW w:w="1275" w:type="dxa"/>
            <w:vAlign w:val="center"/>
          </w:tcPr>
          <w:p w:rsidR="007120B8" w:rsidRPr="007A7968" w:rsidRDefault="007120B8" w:rsidP="00A63FEB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7A7968">
              <w:rPr>
                <w:rFonts w:ascii="Times New Roman" w:hAnsi="Times New Roman" w:cs="Times New Roman"/>
                <w:bCs/>
                <w:szCs w:val="20"/>
              </w:rPr>
              <w:t>9</w:t>
            </w:r>
            <w:r w:rsidR="00A63FEB">
              <w:rPr>
                <w:rFonts w:ascii="Times New Roman" w:hAnsi="Times New Roman" w:cs="Times New Roman"/>
                <w:bCs/>
                <w:szCs w:val="20"/>
              </w:rPr>
              <w:t>5</w:t>
            </w:r>
            <w:r w:rsidRPr="007A7968">
              <w:rPr>
                <w:rFonts w:ascii="Times New Roman" w:hAnsi="Times New Roman" w:cs="Times New Roman"/>
                <w:bCs/>
                <w:szCs w:val="20"/>
              </w:rPr>
              <w:t>,2%</w:t>
            </w:r>
          </w:p>
        </w:tc>
      </w:tr>
    </w:tbl>
    <w:p w:rsidR="00B20380" w:rsidRPr="00DC582F" w:rsidRDefault="00B20380" w:rsidP="00456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Наименьшее исполнение (</w:t>
      </w:r>
      <w:r w:rsidR="00A63FEB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>,</w:t>
      </w:r>
      <w:r w:rsidR="007A7968">
        <w:rPr>
          <w:rFonts w:ascii="Times New Roman" w:hAnsi="Times New Roman" w:cs="Times New Roman"/>
          <w:sz w:val="28"/>
          <w:szCs w:val="28"/>
        </w:rPr>
        <w:t>5</w:t>
      </w:r>
      <w:r w:rsidR="00182D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82D76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>
        <w:rPr>
          <w:rFonts w:ascii="Times New Roman" w:hAnsi="Times New Roman" w:cs="Times New Roman"/>
          <w:sz w:val="28"/>
          <w:szCs w:val="28"/>
        </w:rPr>
        <w:t>по подпрограмме «</w:t>
      </w:r>
      <w:r w:rsidRPr="00B20380">
        <w:rPr>
          <w:rFonts w:ascii="Times New Roman" w:hAnsi="Times New Roman" w:cs="Times New Roman"/>
          <w:sz w:val="28"/>
          <w:szCs w:val="28"/>
        </w:rPr>
        <w:t>Пов</w:t>
      </w:r>
      <w:r w:rsidRPr="00B20380">
        <w:rPr>
          <w:rFonts w:ascii="Times New Roman" w:hAnsi="Times New Roman" w:cs="Times New Roman"/>
          <w:sz w:val="28"/>
          <w:szCs w:val="28"/>
        </w:rPr>
        <w:t>ы</w:t>
      </w:r>
      <w:r w:rsidRPr="00B20380">
        <w:rPr>
          <w:rFonts w:ascii="Times New Roman" w:hAnsi="Times New Roman" w:cs="Times New Roman"/>
          <w:sz w:val="28"/>
          <w:szCs w:val="28"/>
        </w:rPr>
        <w:t>шение безопасности дорожного движения на дорогах общего пользования м</w:t>
      </w:r>
      <w:r w:rsidRPr="00B20380">
        <w:rPr>
          <w:rFonts w:ascii="Times New Roman" w:hAnsi="Times New Roman" w:cs="Times New Roman"/>
          <w:sz w:val="28"/>
          <w:szCs w:val="28"/>
        </w:rPr>
        <w:t>е</w:t>
      </w:r>
      <w:r w:rsidRPr="00B20380">
        <w:rPr>
          <w:rFonts w:ascii="Times New Roman" w:hAnsi="Times New Roman" w:cs="Times New Roman"/>
          <w:sz w:val="28"/>
          <w:szCs w:val="28"/>
        </w:rPr>
        <w:t>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». Если рассматривать данную подпрограмму по мероприятиям, то очевидно, что не использованы </w:t>
      </w:r>
      <w:r w:rsidRPr="00DC582F">
        <w:rPr>
          <w:rFonts w:ascii="Times New Roman" w:hAnsi="Times New Roman" w:cs="Times New Roman"/>
          <w:sz w:val="28"/>
          <w:szCs w:val="28"/>
        </w:rPr>
        <w:t>финансовые средства были</w:t>
      </w:r>
      <w:r w:rsidR="00B31A71" w:rsidRPr="00DC582F">
        <w:rPr>
          <w:rFonts w:ascii="Times New Roman" w:hAnsi="Times New Roman" w:cs="Times New Roman"/>
          <w:sz w:val="28"/>
          <w:szCs w:val="28"/>
        </w:rPr>
        <w:t xml:space="preserve"> по двум мер</w:t>
      </w:r>
      <w:r w:rsidR="00B31A71" w:rsidRPr="00DC582F">
        <w:rPr>
          <w:rFonts w:ascii="Times New Roman" w:hAnsi="Times New Roman" w:cs="Times New Roman"/>
          <w:sz w:val="28"/>
          <w:szCs w:val="28"/>
        </w:rPr>
        <w:t>о</w:t>
      </w:r>
      <w:r w:rsidR="00B31A71" w:rsidRPr="00DC582F">
        <w:rPr>
          <w:rFonts w:ascii="Times New Roman" w:hAnsi="Times New Roman" w:cs="Times New Roman"/>
          <w:sz w:val="28"/>
          <w:szCs w:val="28"/>
        </w:rPr>
        <w:t>приятиями:</w:t>
      </w:r>
    </w:p>
    <w:p w:rsidR="00894F10" w:rsidRPr="00DC582F" w:rsidRDefault="00B20380" w:rsidP="00456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82F">
        <w:rPr>
          <w:rFonts w:ascii="Times New Roman" w:hAnsi="Times New Roman" w:cs="Times New Roman"/>
          <w:sz w:val="28"/>
          <w:szCs w:val="28"/>
        </w:rPr>
        <w:t>- временное перемещение, хранение, оценка и утилизация брошенных и бесхозяйных транспортных средств на территории ЗАТО Железногорск (</w:t>
      </w:r>
      <w:r w:rsidR="004B5B79" w:rsidRPr="00DC582F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B5B79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использованных средств </w:t>
      </w:r>
      <w:r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>составил</w:t>
      </w:r>
      <w:r w:rsidR="004B5B79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0B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97 520,00 руб. или </w:t>
      </w:r>
      <w:r w:rsidR="00A63FEB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4B5B79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63FE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B5B79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%). Неисполнение связано с тем, что </w:t>
      </w:r>
      <w:r w:rsidR="00C4022E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>в течени</w:t>
      </w:r>
      <w:r w:rsidR="00FA7EF5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4022E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4F10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63FE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894F10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документы были направлены владельцам </w:t>
      </w:r>
      <w:r w:rsidR="00A63FEB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="00DC582F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4F10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автомобилей. </w:t>
      </w:r>
      <w:r w:rsidR="00A63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</w:t>
      </w:r>
      <w:r w:rsidR="00894F10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>владельц</w:t>
      </w:r>
      <w:r w:rsidR="00A63FEB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894F10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самостоятельно убрал</w:t>
      </w:r>
      <w:r w:rsidR="00170BB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94F10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свои транспортные средства с дорог общего пользования</w:t>
      </w:r>
      <w:r w:rsidR="00A63FEB">
        <w:rPr>
          <w:rFonts w:ascii="Times New Roman" w:hAnsi="Times New Roman" w:cs="Times New Roman"/>
          <w:color w:val="000000" w:themeColor="text1"/>
          <w:sz w:val="28"/>
          <w:szCs w:val="28"/>
        </w:rPr>
        <w:t>. Расходование финансовых средств св</w:t>
      </w:r>
      <w:r w:rsidR="00A63FE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A63FEB">
        <w:rPr>
          <w:rFonts w:ascii="Times New Roman" w:hAnsi="Times New Roman" w:cs="Times New Roman"/>
          <w:color w:val="000000" w:themeColor="text1"/>
          <w:sz w:val="28"/>
          <w:szCs w:val="28"/>
        </w:rPr>
        <w:t>зано только с оплатой хранения ранее перемещенных транспортных средств</w:t>
      </w:r>
      <w:r w:rsidR="00894F10"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4B5B79" w:rsidRDefault="00894F10" w:rsidP="00456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82F">
        <w:rPr>
          <w:rFonts w:ascii="Times New Roman" w:hAnsi="Times New Roman" w:cs="Times New Roman"/>
          <w:sz w:val="28"/>
          <w:szCs w:val="28"/>
        </w:rPr>
        <w:t>- уплата административных штрафов и иных платежей (размер не испол</w:t>
      </w:r>
      <w:r w:rsidRPr="00DC582F">
        <w:rPr>
          <w:rFonts w:ascii="Times New Roman" w:hAnsi="Times New Roman" w:cs="Times New Roman"/>
          <w:sz w:val="28"/>
          <w:szCs w:val="28"/>
        </w:rPr>
        <w:t>ь</w:t>
      </w:r>
      <w:r w:rsidRPr="00DC582F">
        <w:rPr>
          <w:rFonts w:ascii="Times New Roman" w:hAnsi="Times New Roman" w:cs="Times New Roman"/>
          <w:sz w:val="28"/>
          <w:szCs w:val="28"/>
        </w:rPr>
        <w:t xml:space="preserve">зованных средств составил </w:t>
      </w:r>
      <w:r w:rsidR="00A63FEB">
        <w:rPr>
          <w:rFonts w:ascii="Times New Roman" w:hAnsi="Times New Roman" w:cs="Times New Roman"/>
          <w:sz w:val="28"/>
          <w:szCs w:val="28"/>
        </w:rPr>
        <w:t>695 000</w:t>
      </w:r>
      <w:r w:rsidR="007A7968">
        <w:rPr>
          <w:rFonts w:ascii="Times New Roman" w:hAnsi="Times New Roman" w:cs="Times New Roman"/>
          <w:sz w:val="28"/>
          <w:szCs w:val="28"/>
        </w:rPr>
        <w:t>,00</w:t>
      </w:r>
      <w:r w:rsidRPr="00DC582F">
        <w:rPr>
          <w:rFonts w:ascii="Times New Roman" w:hAnsi="Times New Roman" w:cs="Times New Roman"/>
          <w:sz w:val="28"/>
          <w:szCs w:val="28"/>
        </w:rPr>
        <w:t xml:space="preserve"> руб.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968">
        <w:rPr>
          <w:rFonts w:ascii="Times New Roman" w:hAnsi="Times New Roman" w:cs="Times New Roman"/>
          <w:sz w:val="28"/>
          <w:szCs w:val="28"/>
        </w:rPr>
        <w:t>6</w:t>
      </w:r>
      <w:r w:rsidR="00A63FEB">
        <w:rPr>
          <w:rFonts w:ascii="Times New Roman" w:hAnsi="Times New Roman" w:cs="Times New Roman"/>
          <w:sz w:val="28"/>
          <w:szCs w:val="28"/>
        </w:rPr>
        <w:t>9</w:t>
      </w:r>
      <w:r w:rsidR="00011DDD">
        <w:rPr>
          <w:rFonts w:ascii="Times New Roman" w:hAnsi="Times New Roman" w:cs="Times New Roman"/>
          <w:sz w:val="28"/>
          <w:szCs w:val="28"/>
        </w:rPr>
        <w:t>,</w:t>
      </w:r>
      <w:r w:rsidR="00A63F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%)</w:t>
      </w:r>
      <w:r w:rsidR="003C37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Неисполнение связано с тем, что уплата административных штрафов осуществляется только по факту их выдачи надзорными органами и не может быть спрогнозирована заранее.</w:t>
      </w:r>
    </w:p>
    <w:p w:rsidR="00590B39" w:rsidRDefault="00590B39" w:rsidP="00456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252" w:rsidRPr="00B075C0" w:rsidRDefault="00641252" w:rsidP="00456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5C0">
        <w:rPr>
          <w:rFonts w:ascii="Times New Roman" w:hAnsi="Times New Roman" w:cs="Times New Roman"/>
          <w:sz w:val="28"/>
          <w:szCs w:val="28"/>
        </w:rPr>
        <w:t>В рамках реализации мероприятий программы были осуществлены:</w:t>
      </w:r>
    </w:p>
    <w:p w:rsidR="00641252" w:rsidRPr="00B075C0" w:rsidRDefault="00170BBB" w:rsidP="00456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41252" w:rsidRPr="00B07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41252" w:rsidRPr="00B075C0">
        <w:rPr>
          <w:rFonts w:ascii="Times New Roman" w:hAnsi="Times New Roman" w:cs="Times New Roman"/>
          <w:sz w:val="28"/>
          <w:szCs w:val="28"/>
        </w:rPr>
        <w:t>одпрограмма «Осуществление дорожной деятельности в отношении автомобильных дорог местного значения»:</w:t>
      </w:r>
    </w:p>
    <w:p w:rsidR="00B075C0" w:rsidRPr="009D593E" w:rsidRDefault="00641252" w:rsidP="0001275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- выполнен комплекс работ по содержани</w:t>
      </w:r>
      <w:r w:rsidR="00590B39"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12756">
        <w:rPr>
          <w:rFonts w:ascii="Times New Roman" w:eastAsiaTheme="minorHAnsi" w:hAnsi="Times New Roman" w:cs="Times New Roman"/>
          <w:sz w:val="28"/>
          <w:szCs w:val="28"/>
          <w:lang w:eastAsia="en-US"/>
        </w:rPr>
        <w:t>190</w:t>
      </w:r>
      <w:r w:rsidR="00EB6F32"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012756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км дорог общего пол</w:t>
      </w:r>
      <w:r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зования местного значения, примыкающих тротуаров</w:t>
      </w:r>
      <w:r w:rsidR="006D39F9"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, объектов озеленения, территорий общего пользования</w:t>
      </w:r>
      <w:r w:rsidR="00B075C0"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075C0"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существлен ямочный ремонт асфальтобето</w:t>
      </w:r>
      <w:r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C00F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ного покрытия дорог </w:t>
      </w:r>
      <w:r w:rsidRPr="00D67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площадью </w:t>
      </w:r>
      <w:r w:rsidR="00012756">
        <w:rPr>
          <w:rFonts w:ascii="Times New Roman" w:eastAsiaTheme="minorHAnsi" w:hAnsi="Times New Roman" w:cs="Times New Roman"/>
          <w:sz w:val="28"/>
          <w:szCs w:val="28"/>
          <w:lang w:eastAsia="en-US"/>
        </w:rPr>
        <w:t>15 000,0</w:t>
      </w:r>
      <w:r w:rsidR="00D67EE2" w:rsidRPr="00D67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7EE2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590B39" w:rsidRPr="00D67EE2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2</w:t>
      </w:r>
      <w:r w:rsidRPr="00D67EE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B075C0" w:rsidRPr="00D67EE2">
        <w:rPr>
          <w:rFonts w:ascii="Times New Roman" w:hAnsi="Times New Roman" w:cs="Times New Roman"/>
          <w:sz w:val="28"/>
          <w:szCs w:val="28"/>
        </w:rPr>
        <w:t xml:space="preserve"> </w:t>
      </w:r>
      <w:r w:rsidRPr="00D67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убрано и вывезено </w:t>
      </w:r>
      <w:r w:rsidR="00012756" w:rsidRPr="000127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350 тыс. </w:t>
      </w:r>
      <w:r w:rsidRPr="00D67EE2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D67EE2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3</w:t>
      </w:r>
      <w:r w:rsidRPr="00D67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сн</w:t>
      </w:r>
      <w:r w:rsidRPr="00D67EE2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7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га с дорог и </w:t>
      </w:r>
      <w:r w:rsidRPr="00C407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тротуаров, </w:t>
      </w:r>
      <w:r w:rsidR="00012756" w:rsidRPr="00C407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произведена замена </w:t>
      </w:r>
      <w:r w:rsidR="00012756">
        <w:rPr>
          <w:rFonts w:ascii="Times New Roman" w:eastAsiaTheme="minorHAnsi" w:hAnsi="Times New Roman" w:cs="Times New Roman"/>
          <w:sz w:val="28"/>
          <w:szCs w:val="28"/>
          <w:lang w:eastAsia="en-US"/>
        </w:rPr>
        <w:t>880</w:t>
      </w:r>
      <w:r w:rsidR="00012756" w:rsidRPr="00C407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знаков, пришедших в него</w:t>
      </w:r>
      <w:r w:rsidR="00012756" w:rsidRPr="00C4079C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012756" w:rsidRPr="00C407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ность и дополнительно установлены </w:t>
      </w:r>
      <w:r w:rsidR="00012756">
        <w:rPr>
          <w:rFonts w:ascii="Times New Roman" w:eastAsiaTheme="minorHAnsi" w:hAnsi="Times New Roman" w:cs="Times New Roman"/>
          <w:sz w:val="28"/>
          <w:szCs w:val="28"/>
          <w:lang w:eastAsia="en-US"/>
        </w:rPr>
        <w:t>60</w:t>
      </w:r>
      <w:r w:rsidR="00012756" w:rsidRPr="00C407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новых стоек для знаков, </w:t>
      </w:r>
      <w:r w:rsidR="00012756" w:rsidRPr="00C4079C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012756">
        <w:rPr>
          <w:rFonts w:ascii="Times New Roman" w:hAnsi="Times New Roman" w:cs="Times New Roman"/>
          <w:sz w:val="28"/>
          <w:szCs w:val="28"/>
        </w:rPr>
        <w:t>3</w:t>
      </w:r>
      <w:r w:rsidR="00012756" w:rsidRPr="00C4079C">
        <w:rPr>
          <w:rFonts w:ascii="Times New Roman" w:hAnsi="Times New Roman" w:cs="Times New Roman"/>
          <w:sz w:val="28"/>
          <w:szCs w:val="28"/>
        </w:rPr>
        <w:t xml:space="preserve"> новых автопавильон</w:t>
      </w:r>
      <w:r w:rsidR="00012756">
        <w:rPr>
          <w:rFonts w:ascii="Times New Roman" w:hAnsi="Times New Roman" w:cs="Times New Roman"/>
          <w:sz w:val="28"/>
          <w:szCs w:val="28"/>
        </w:rPr>
        <w:t>а</w:t>
      </w:r>
      <w:r w:rsidR="00012756" w:rsidRPr="00C4079C">
        <w:rPr>
          <w:rFonts w:ascii="Times New Roman" w:hAnsi="Times New Roman" w:cs="Times New Roman"/>
          <w:sz w:val="28"/>
          <w:szCs w:val="28"/>
        </w:rPr>
        <w:t>, произведен ремонт 1</w:t>
      </w:r>
      <w:r w:rsidR="00012756">
        <w:rPr>
          <w:rFonts w:ascii="Times New Roman" w:hAnsi="Times New Roman" w:cs="Times New Roman"/>
          <w:sz w:val="28"/>
          <w:szCs w:val="28"/>
        </w:rPr>
        <w:t>5</w:t>
      </w:r>
      <w:r w:rsidR="00012756" w:rsidRPr="00C4079C">
        <w:rPr>
          <w:rFonts w:ascii="Times New Roman" w:hAnsi="Times New Roman" w:cs="Times New Roman"/>
          <w:sz w:val="28"/>
          <w:szCs w:val="28"/>
        </w:rPr>
        <w:t xml:space="preserve"> ливневых колодцев, произведена промывка </w:t>
      </w:r>
      <w:r w:rsidR="00012756">
        <w:rPr>
          <w:rFonts w:ascii="Times New Roman" w:hAnsi="Times New Roman" w:cs="Times New Roman"/>
          <w:sz w:val="28"/>
          <w:szCs w:val="28"/>
        </w:rPr>
        <w:t>35 тыс. м.</w:t>
      </w:r>
      <w:r w:rsidR="00012756" w:rsidRPr="00C4079C">
        <w:rPr>
          <w:rFonts w:ascii="Times New Roman" w:hAnsi="Times New Roman" w:cs="Times New Roman"/>
          <w:sz w:val="28"/>
          <w:szCs w:val="28"/>
        </w:rPr>
        <w:t xml:space="preserve"> труб ливневой </w:t>
      </w:r>
      <w:r w:rsidR="00012756" w:rsidRPr="001923F4">
        <w:rPr>
          <w:rFonts w:ascii="Times New Roman" w:hAnsi="Times New Roman" w:cs="Times New Roman"/>
          <w:sz w:val="28"/>
          <w:szCs w:val="28"/>
        </w:rPr>
        <w:t xml:space="preserve">канализации, очищено от грязи и ила </w:t>
      </w:r>
      <w:r w:rsidR="00012756">
        <w:rPr>
          <w:rFonts w:ascii="Times New Roman" w:hAnsi="Times New Roman" w:cs="Times New Roman"/>
          <w:sz w:val="28"/>
          <w:szCs w:val="28"/>
        </w:rPr>
        <w:t xml:space="preserve">1 115 </w:t>
      </w:r>
      <w:r w:rsidR="00012756" w:rsidRPr="001923F4">
        <w:rPr>
          <w:rFonts w:ascii="Times New Roman" w:hAnsi="Times New Roman" w:cs="Times New Roman"/>
          <w:sz w:val="28"/>
          <w:szCs w:val="28"/>
        </w:rPr>
        <w:t xml:space="preserve">ливневых колодцев, нанесено дорожной разметки </w:t>
      </w:r>
      <w:r w:rsidR="008A34CC">
        <w:rPr>
          <w:rFonts w:ascii="Times New Roman" w:hAnsi="Times New Roman" w:cs="Times New Roman"/>
          <w:sz w:val="28"/>
          <w:szCs w:val="28"/>
        </w:rPr>
        <w:t>23,7</w:t>
      </w:r>
      <w:r w:rsidR="00012756">
        <w:rPr>
          <w:rFonts w:ascii="Times New Roman" w:hAnsi="Times New Roman" w:cs="Times New Roman"/>
          <w:sz w:val="28"/>
          <w:szCs w:val="28"/>
        </w:rPr>
        <w:t xml:space="preserve"> тыс.</w:t>
      </w:r>
      <w:r w:rsidR="00012756" w:rsidRPr="001923F4">
        <w:rPr>
          <w:rFonts w:ascii="Times New Roman" w:hAnsi="Times New Roman" w:cs="Times New Roman"/>
          <w:sz w:val="28"/>
          <w:szCs w:val="28"/>
        </w:rPr>
        <w:t xml:space="preserve"> м</w:t>
      </w:r>
      <w:r w:rsidR="00012756" w:rsidRPr="001923F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12756" w:rsidRPr="001923F4">
        <w:rPr>
          <w:rFonts w:ascii="Times New Roman" w:hAnsi="Times New Roman" w:cs="Times New Roman"/>
          <w:sz w:val="28"/>
          <w:szCs w:val="28"/>
        </w:rPr>
        <w:t xml:space="preserve">, проведено </w:t>
      </w:r>
      <w:r w:rsidR="00012756" w:rsidRPr="009D593E">
        <w:rPr>
          <w:rFonts w:ascii="Times New Roman" w:hAnsi="Times New Roman" w:cs="Times New Roman"/>
          <w:sz w:val="28"/>
          <w:szCs w:val="28"/>
        </w:rPr>
        <w:t>пр</w:t>
      </w:r>
      <w:r w:rsidR="00012756" w:rsidRPr="009D593E">
        <w:rPr>
          <w:rFonts w:ascii="Times New Roman" w:hAnsi="Times New Roman" w:cs="Times New Roman"/>
          <w:sz w:val="28"/>
          <w:szCs w:val="28"/>
        </w:rPr>
        <w:t>о</w:t>
      </w:r>
      <w:r w:rsidR="00012756" w:rsidRPr="009D593E">
        <w:rPr>
          <w:rFonts w:ascii="Times New Roman" w:hAnsi="Times New Roman" w:cs="Times New Roman"/>
          <w:sz w:val="28"/>
          <w:szCs w:val="28"/>
        </w:rPr>
        <w:t>филиро</w:t>
      </w:r>
      <w:r w:rsidR="00170BBB">
        <w:rPr>
          <w:rFonts w:ascii="Times New Roman" w:hAnsi="Times New Roman" w:cs="Times New Roman"/>
          <w:sz w:val="28"/>
          <w:szCs w:val="28"/>
        </w:rPr>
        <w:t>вание 480 км покрытия и обочин;</w:t>
      </w:r>
    </w:p>
    <w:p w:rsidR="00456C93" w:rsidRPr="009D593E" w:rsidRDefault="00B075C0" w:rsidP="009D593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93E">
        <w:rPr>
          <w:rFonts w:ascii="Times New Roman" w:hAnsi="Times New Roman" w:cs="Times New Roman"/>
          <w:sz w:val="28"/>
          <w:szCs w:val="28"/>
        </w:rPr>
        <w:t xml:space="preserve">- выполнение комплекса работ по содержанию </w:t>
      </w:r>
      <w:r w:rsidR="009D593E" w:rsidRPr="009D593E">
        <w:rPr>
          <w:rFonts w:ascii="Times New Roman" w:hAnsi="Times New Roman"/>
          <w:sz w:val="28"/>
          <w:szCs w:val="28"/>
        </w:rPr>
        <w:t>517 004 кв. м. тротуаров (тротуаров, дорожек, ступеней, закруглений, заездных карманов и пр.), 1</w:t>
      </w:r>
      <w:r w:rsidR="009D593E" w:rsidRPr="009D593E">
        <w:rPr>
          <w:rFonts w:ascii="Times New Roman" w:hAnsi="Times New Roman"/>
          <w:sz w:val="28"/>
          <w:szCs w:val="28"/>
          <w:lang w:val="en-US"/>
        </w:rPr>
        <w:t> </w:t>
      </w:r>
      <w:r w:rsidR="009D593E" w:rsidRPr="009D593E">
        <w:rPr>
          <w:rFonts w:ascii="Times New Roman" w:hAnsi="Times New Roman"/>
          <w:sz w:val="28"/>
          <w:szCs w:val="28"/>
        </w:rPr>
        <w:t>608</w:t>
      </w:r>
      <w:r w:rsidR="009D593E" w:rsidRPr="009D593E">
        <w:rPr>
          <w:rFonts w:ascii="Times New Roman" w:hAnsi="Times New Roman"/>
          <w:sz w:val="28"/>
          <w:szCs w:val="28"/>
          <w:lang w:val="en-US"/>
        </w:rPr>
        <w:t> </w:t>
      </w:r>
      <w:r w:rsidR="009D593E" w:rsidRPr="009D593E">
        <w:rPr>
          <w:rFonts w:ascii="Times New Roman" w:hAnsi="Times New Roman"/>
          <w:sz w:val="28"/>
          <w:szCs w:val="28"/>
        </w:rPr>
        <w:t>429 кв. м. озеленения, 5 635,1 кв. м. цветников.</w:t>
      </w:r>
      <w:r w:rsidRPr="009D593E">
        <w:rPr>
          <w:rFonts w:ascii="Times New Roman" w:hAnsi="Times New Roman" w:cs="Times New Roman"/>
          <w:sz w:val="28"/>
          <w:szCs w:val="28"/>
        </w:rPr>
        <w:t>:  произведена формово</w:t>
      </w:r>
      <w:r w:rsidRPr="009D593E">
        <w:rPr>
          <w:rFonts w:ascii="Times New Roman" w:hAnsi="Times New Roman" w:cs="Times New Roman"/>
          <w:sz w:val="28"/>
          <w:szCs w:val="28"/>
        </w:rPr>
        <w:t>ч</w:t>
      </w:r>
      <w:r w:rsidRPr="009D593E">
        <w:rPr>
          <w:rFonts w:ascii="Times New Roman" w:hAnsi="Times New Roman" w:cs="Times New Roman"/>
          <w:sz w:val="28"/>
          <w:szCs w:val="28"/>
        </w:rPr>
        <w:t xml:space="preserve">ная стрижка </w:t>
      </w:r>
      <w:r w:rsidR="00B62FA2" w:rsidRPr="009D593E">
        <w:rPr>
          <w:rFonts w:ascii="Times New Roman" w:hAnsi="Times New Roman" w:cs="Times New Roman"/>
          <w:sz w:val="28"/>
          <w:szCs w:val="28"/>
        </w:rPr>
        <w:t>3 </w:t>
      </w:r>
      <w:r w:rsidR="009D593E" w:rsidRPr="009D593E">
        <w:rPr>
          <w:rFonts w:ascii="Times New Roman" w:hAnsi="Times New Roman" w:cs="Times New Roman"/>
          <w:sz w:val="28"/>
          <w:szCs w:val="28"/>
        </w:rPr>
        <w:t>255</w:t>
      </w:r>
      <w:r w:rsidR="00F5555C" w:rsidRPr="009D593E">
        <w:rPr>
          <w:rFonts w:ascii="Times New Roman" w:hAnsi="Times New Roman" w:cs="Times New Roman"/>
          <w:sz w:val="28"/>
          <w:szCs w:val="28"/>
        </w:rPr>
        <w:t xml:space="preserve"> </w:t>
      </w:r>
      <w:r w:rsidRPr="009D593E">
        <w:rPr>
          <w:rFonts w:ascii="Times New Roman" w:hAnsi="Times New Roman" w:cs="Times New Roman"/>
          <w:sz w:val="28"/>
          <w:szCs w:val="28"/>
        </w:rPr>
        <w:t xml:space="preserve">деревьев, вырезка сухих сучьев на </w:t>
      </w:r>
      <w:r w:rsidR="009D593E" w:rsidRPr="009D593E">
        <w:rPr>
          <w:rFonts w:ascii="Times New Roman" w:hAnsi="Times New Roman" w:cs="Times New Roman"/>
          <w:sz w:val="28"/>
          <w:szCs w:val="28"/>
        </w:rPr>
        <w:t>4 655</w:t>
      </w:r>
      <w:r w:rsidRPr="009D593E">
        <w:rPr>
          <w:rFonts w:ascii="Times New Roman" w:hAnsi="Times New Roman" w:cs="Times New Roman"/>
          <w:sz w:val="28"/>
          <w:szCs w:val="28"/>
        </w:rPr>
        <w:t xml:space="preserve"> деревьях, омолаж</w:t>
      </w:r>
      <w:r w:rsidRPr="009D593E">
        <w:rPr>
          <w:rFonts w:ascii="Times New Roman" w:hAnsi="Times New Roman" w:cs="Times New Roman"/>
          <w:sz w:val="28"/>
          <w:szCs w:val="28"/>
        </w:rPr>
        <w:t>и</w:t>
      </w:r>
      <w:r w:rsidRPr="009D593E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472086" w:rsidRPr="009D593E">
        <w:rPr>
          <w:rFonts w:ascii="Times New Roman" w:hAnsi="Times New Roman" w:cs="Times New Roman"/>
          <w:sz w:val="28"/>
          <w:szCs w:val="28"/>
        </w:rPr>
        <w:t>5</w:t>
      </w:r>
      <w:r w:rsidR="009D593E" w:rsidRPr="009D593E">
        <w:rPr>
          <w:rFonts w:ascii="Times New Roman" w:hAnsi="Times New Roman" w:cs="Times New Roman"/>
          <w:sz w:val="28"/>
          <w:szCs w:val="28"/>
        </w:rPr>
        <w:t>0</w:t>
      </w:r>
      <w:r w:rsidR="00281C30" w:rsidRPr="009D593E">
        <w:rPr>
          <w:rFonts w:ascii="Times New Roman" w:hAnsi="Times New Roman" w:cs="Times New Roman"/>
          <w:sz w:val="28"/>
          <w:szCs w:val="28"/>
        </w:rPr>
        <w:t xml:space="preserve"> </w:t>
      </w:r>
      <w:r w:rsidRPr="009D593E">
        <w:rPr>
          <w:rFonts w:ascii="Times New Roman" w:hAnsi="Times New Roman" w:cs="Times New Roman"/>
          <w:sz w:val="28"/>
          <w:szCs w:val="28"/>
        </w:rPr>
        <w:t>дерев</w:t>
      </w:r>
      <w:r w:rsidR="00B62FA2" w:rsidRPr="009D593E">
        <w:rPr>
          <w:rFonts w:ascii="Times New Roman" w:hAnsi="Times New Roman" w:cs="Times New Roman"/>
          <w:sz w:val="28"/>
          <w:szCs w:val="28"/>
        </w:rPr>
        <w:t>ьев</w:t>
      </w:r>
      <w:r w:rsidRPr="009D593E">
        <w:rPr>
          <w:rFonts w:ascii="Times New Roman" w:hAnsi="Times New Roman" w:cs="Times New Roman"/>
          <w:sz w:val="28"/>
          <w:szCs w:val="28"/>
        </w:rPr>
        <w:t xml:space="preserve">, посажены </w:t>
      </w:r>
      <w:r w:rsidR="009D593E" w:rsidRPr="009D593E">
        <w:rPr>
          <w:rFonts w:ascii="Times New Roman" w:hAnsi="Times New Roman" w:cs="Times New Roman"/>
          <w:sz w:val="28"/>
          <w:szCs w:val="28"/>
        </w:rPr>
        <w:t xml:space="preserve">324 </w:t>
      </w:r>
      <w:r w:rsidRPr="009D593E">
        <w:rPr>
          <w:rFonts w:ascii="Times New Roman" w:hAnsi="Times New Roman" w:cs="Times New Roman"/>
          <w:sz w:val="28"/>
          <w:szCs w:val="28"/>
        </w:rPr>
        <w:t>дерев</w:t>
      </w:r>
      <w:r w:rsidR="009D593E" w:rsidRPr="009D593E">
        <w:rPr>
          <w:rFonts w:ascii="Times New Roman" w:hAnsi="Times New Roman" w:cs="Times New Roman"/>
          <w:sz w:val="28"/>
          <w:szCs w:val="28"/>
        </w:rPr>
        <w:t>а</w:t>
      </w:r>
      <w:r w:rsidR="00894F10" w:rsidRPr="009D593E">
        <w:rPr>
          <w:rFonts w:ascii="Times New Roman" w:hAnsi="Times New Roman" w:cs="Times New Roman"/>
          <w:sz w:val="28"/>
          <w:szCs w:val="28"/>
        </w:rPr>
        <w:t xml:space="preserve"> </w:t>
      </w:r>
      <w:r w:rsidRPr="009D593E">
        <w:rPr>
          <w:rFonts w:ascii="Times New Roman" w:hAnsi="Times New Roman" w:cs="Times New Roman"/>
          <w:sz w:val="28"/>
          <w:szCs w:val="28"/>
        </w:rPr>
        <w:t xml:space="preserve">и </w:t>
      </w:r>
      <w:r w:rsidR="009D593E" w:rsidRPr="009D593E">
        <w:rPr>
          <w:rFonts w:ascii="Times New Roman" w:hAnsi="Times New Roman" w:cs="Times New Roman"/>
          <w:sz w:val="28"/>
          <w:szCs w:val="28"/>
        </w:rPr>
        <w:t xml:space="preserve">2 466 </w:t>
      </w:r>
      <w:r w:rsidRPr="009D593E">
        <w:rPr>
          <w:rFonts w:ascii="Times New Roman" w:hAnsi="Times New Roman" w:cs="Times New Roman"/>
          <w:sz w:val="28"/>
          <w:szCs w:val="28"/>
        </w:rPr>
        <w:t>кустарник</w:t>
      </w:r>
      <w:r w:rsidR="00894F10" w:rsidRPr="009D593E">
        <w:rPr>
          <w:rFonts w:ascii="Times New Roman" w:hAnsi="Times New Roman" w:cs="Times New Roman"/>
          <w:sz w:val="28"/>
          <w:szCs w:val="28"/>
        </w:rPr>
        <w:t>ов</w:t>
      </w:r>
      <w:r w:rsidRPr="009D593E">
        <w:rPr>
          <w:rFonts w:ascii="Times New Roman" w:hAnsi="Times New Roman" w:cs="Times New Roman"/>
          <w:sz w:val="28"/>
          <w:szCs w:val="28"/>
        </w:rPr>
        <w:t xml:space="preserve">, засеяны </w:t>
      </w:r>
      <w:r w:rsidR="009D593E" w:rsidRPr="009D593E">
        <w:rPr>
          <w:rFonts w:ascii="Times New Roman" w:hAnsi="Times New Roman" w:cs="Times New Roman"/>
          <w:sz w:val="28"/>
          <w:szCs w:val="28"/>
        </w:rPr>
        <w:t xml:space="preserve">1 049 </w:t>
      </w:r>
      <w:r w:rsidRPr="009D593E">
        <w:rPr>
          <w:rFonts w:ascii="Times New Roman" w:hAnsi="Times New Roman" w:cs="Times New Roman"/>
          <w:sz w:val="28"/>
          <w:szCs w:val="28"/>
        </w:rPr>
        <w:t xml:space="preserve">кв. метров газонов и </w:t>
      </w:r>
      <w:r w:rsidR="00281C30" w:rsidRPr="009D593E">
        <w:rPr>
          <w:rFonts w:ascii="Times New Roman" w:hAnsi="Times New Roman" w:cs="Times New Roman"/>
          <w:sz w:val="28"/>
          <w:szCs w:val="28"/>
        </w:rPr>
        <w:t>2</w:t>
      </w:r>
      <w:r w:rsidR="0022688C" w:rsidRPr="009D593E">
        <w:rPr>
          <w:rFonts w:ascii="Times New Roman" w:hAnsi="Times New Roman" w:cs="Times New Roman"/>
          <w:sz w:val="28"/>
          <w:szCs w:val="28"/>
        </w:rPr>
        <w:t> </w:t>
      </w:r>
      <w:r w:rsidR="009D593E" w:rsidRPr="009D593E">
        <w:rPr>
          <w:rFonts w:ascii="Times New Roman" w:hAnsi="Times New Roman" w:cs="Times New Roman"/>
          <w:sz w:val="28"/>
          <w:szCs w:val="28"/>
        </w:rPr>
        <w:t>2</w:t>
      </w:r>
      <w:r w:rsidR="00F5555C" w:rsidRPr="009D593E">
        <w:rPr>
          <w:rFonts w:ascii="Times New Roman" w:hAnsi="Times New Roman" w:cs="Times New Roman"/>
          <w:sz w:val="28"/>
          <w:szCs w:val="28"/>
        </w:rPr>
        <w:t>2</w:t>
      </w:r>
      <w:r w:rsidR="00894F10" w:rsidRPr="009D593E">
        <w:rPr>
          <w:rFonts w:ascii="Times New Roman" w:hAnsi="Times New Roman" w:cs="Times New Roman"/>
          <w:sz w:val="28"/>
          <w:szCs w:val="28"/>
        </w:rPr>
        <w:t>5</w:t>
      </w:r>
      <w:r w:rsidR="0022688C" w:rsidRPr="009D593E">
        <w:rPr>
          <w:rFonts w:ascii="Times New Roman" w:hAnsi="Times New Roman" w:cs="Times New Roman"/>
          <w:sz w:val="28"/>
          <w:szCs w:val="28"/>
        </w:rPr>
        <w:t xml:space="preserve"> </w:t>
      </w:r>
      <w:r w:rsidRPr="009D593E">
        <w:rPr>
          <w:rFonts w:ascii="Times New Roman" w:hAnsi="Times New Roman" w:cs="Times New Roman"/>
          <w:sz w:val="28"/>
          <w:szCs w:val="28"/>
        </w:rPr>
        <w:t>м</w:t>
      </w:r>
      <w:r w:rsidR="0022688C" w:rsidRPr="009D593E">
        <w:rPr>
          <w:rFonts w:ascii="Times New Roman" w:hAnsi="Times New Roman" w:cs="Times New Roman"/>
          <w:sz w:val="28"/>
          <w:szCs w:val="28"/>
        </w:rPr>
        <w:t>2</w:t>
      </w:r>
      <w:r w:rsidRPr="009D593E">
        <w:rPr>
          <w:rFonts w:ascii="Times New Roman" w:hAnsi="Times New Roman" w:cs="Times New Roman"/>
          <w:sz w:val="28"/>
          <w:szCs w:val="28"/>
        </w:rPr>
        <w:t xml:space="preserve"> цветников, высажено </w:t>
      </w:r>
      <w:r w:rsidR="009D593E" w:rsidRPr="009D593E">
        <w:rPr>
          <w:rFonts w:ascii="Times New Roman" w:hAnsi="Times New Roman" w:cs="Times New Roman"/>
          <w:sz w:val="28"/>
          <w:szCs w:val="28"/>
        </w:rPr>
        <w:t>335,1 тыс.</w:t>
      </w:r>
      <w:r w:rsidRPr="009D593E">
        <w:rPr>
          <w:rFonts w:ascii="Times New Roman" w:hAnsi="Times New Roman" w:cs="Times New Roman"/>
          <w:sz w:val="28"/>
          <w:szCs w:val="28"/>
        </w:rPr>
        <w:t xml:space="preserve"> ед. живой цветочной рассады</w:t>
      </w:r>
      <w:r w:rsidR="00095E96" w:rsidRPr="009D593E">
        <w:rPr>
          <w:rFonts w:ascii="Times New Roman" w:hAnsi="Times New Roman" w:cs="Times New Roman"/>
          <w:sz w:val="28"/>
          <w:szCs w:val="28"/>
        </w:rPr>
        <w:t xml:space="preserve"> (ковровых тепличных, для летников тепличных, горшечных)</w:t>
      </w:r>
      <w:r w:rsidRPr="009D593E">
        <w:rPr>
          <w:rFonts w:ascii="Times New Roman" w:hAnsi="Times New Roman" w:cs="Times New Roman"/>
          <w:sz w:val="28"/>
          <w:szCs w:val="28"/>
        </w:rPr>
        <w:t xml:space="preserve">, </w:t>
      </w:r>
      <w:r w:rsidR="00E30999" w:rsidRPr="009D593E">
        <w:rPr>
          <w:rFonts w:ascii="Times New Roman" w:hAnsi="Times New Roman" w:cs="Times New Roman"/>
          <w:sz w:val="28"/>
          <w:szCs w:val="28"/>
        </w:rPr>
        <w:t>42,2</w:t>
      </w:r>
      <w:r w:rsidR="009D593E" w:rsidRPr="009D593E">
        <w:rPr>
          <w:rFonts w:ascii="Times New Roman" w:hAnsi="Times New Roman" w:cs="Times New Roman"/>
          <w:sz w:val="28"/>
          <w:szCs w:val="28"/>
        </w:rPr>
        <w:t>5</w:t>
      </w:r>
      <w:r w:rsidR="00281C30" w:rsidRPr="009D593E">
        <w:rPr>
          <w:rFonts w:ascii="Times New Roman" w:hAnsi="Times New Roman" w:cs="Times New Roman"/>
          <w:sz w:val="28"/>
          <w:szCs w:val="28"/>
        </w:rPr>
        <w:t xml:space="preserve"> </w:t>
      </w:r>
      <w:r w:rsidRPr="009D593E">
        <w:rPr>
          <w:rFonts w:ascii="Times New Roman" w:hAnsi="Times New Roman" w:cs="Times New Roman"/>
          <w:sz w:val="28"/>
          <w:szCs w:val="28"/>
        </w:rPr>
        <w:t>тыс. луковичных растений, установлены новые кованые диваны – 3</w:t>
      </w:r>
      <w:r w:rsidR="00472086" w:rsidRPr="009D593E">
        <w:rPr>
          <w:rFonts w:ascii="Times New Roman" w:hAnsi="Times New Roman" w:cs="Times New Roman"/>
          <w:sz w:val="28"/>
          <w:szCs w:val="28"/>
        </w:rPr>
        <w:t>5</w:t>
      </w:r>
      <w:r w:rsidRPr="009D593E">
        <w:rPr>
          <w:rFonts w:ascii="Times New Roman" w:hAnsi="Times New Roman" w:cs="Times New Roman"/>
          <w:sz w:val="28"/>
          <w:szCs w:val="28"/>
        </w:rPr>
        <w:t xml:space="preserve"> шт.</w:t>
      </w:r>
      <w:r w:rsidR="009D593E" w:rsidRPr="009D593E">
        <w:rPr>
          <w:rFonts w:ascii="Times New Roman" w:hAnsi="Times New Roman" w:cs="Times New Roman"/>
          <w:sz w:val="28"/>
          <w:szCs w:val="28"/>
        </w:rPr>
        <w:t xml:space="preserve">, </w:t>
      </w:r>
      <w:r w:rsidR="009D593E" w:rsidRPr="009D593E">
        <w:rPr>
          <w:rFonts w:ascii="Times New Roman" w:hAnsi="Times New Roman"/>
          <w:sz w:val="28"/>
          <w:szCs w:val="28"/>
        </w:rPr>
        <w:t>пр</w:t>
      </w:r>
      <w:r w:rsidR="009D593E" w:rsidRPr="009D593E">
        <w:rPr>
          <w:rFonts w:ascii="Times New Roman" w:hAnsi="Times New Roman"/>
          <w:sz w:val="28"/>
          <w:szCs w:val="28"/>
        </w:rPr>
        <w:t>о</w:t>
      </w:r>
      <w:r w:rsidR="009D593E" w:rsidRPr="009D593E">
        <w:rPr>
          <w:rFonts w:ascii="Times New Roman" w:hAnsi="Times New Roman" w:cs="Times New Roman"/>
          <w:sz w:val="28"/>
          <w:szCs w:val="28"/>
        </w:rPr>
        <w:t>изведена покраска вазонов и урн (бетонных) 1 401 шт.</w:t>
      </w:r>
      <w:r w:rsidR="00456C93" w:rsidRPr="009D593E">
        <w:rPr>
          <w:rFonts w:ascii="Times New Roman" w:hAnsi="Times New Roman" w:cs="Times New Roman"/>
          <w:sz w:val="28"/>
          <w:szCs w:val="28"/>
        </w:rPr>
        <w:t xml:space="preserve"> (все вышеперечисленное </w:t>
      </w:r>
      <w:r w:rsidR="00170BBB">
        <w:rPr>
          <w:rFonts w:ascii="Times New Roman" w:hAnsi="Times New Roman" w:cs="Times New Roman"/>
          <w:sz w:val="28"/>
          <w:szCs w:val="28"/>
        </w:rPr>
        <w:t xml:space="preserve">— это </w:t>
      </w:r>
      <w:r w:rsidR="00456C93" w:rsidRPr="009D593E">
        <w:rPr>
          <w:rFonts w:ascii="Times New Roman" w:hAnsi="Times New Roman" w:cs="Times New Roman"/>
          <w:sz w:val="28"/>
          <w:szCs w:val="28"/>
        </w:rPr>
        <w:t xml:space="preserve">затраты по </w:t>
      </w:r>
      <w:r w:rsidR="009D593E" w:rsidRPr="009D593E">
        <w:rPr>
          <w:rFonts w:ascii="Times New Roman" w:hAnsi="Times New Roman" w:cs="Times New Roman"/>
          <w:sz w:val="28"/>
          <w:szCs w:val="28"/>
        </w:rPr>
        <w:t>12100S5080 009 0409 610</w:t>
      </w:r>
      <w:r w:rsidR="00456C93" w:rsidRPr="009D593E">
        <w:rPr>
          <w:rFonts w:ascii="Times New Roman" w:hAnsi="Times New Roman" w:cs="Times New Roman"/>
          <w:sz w:val="28"/>
          <w:szCs w:val="28"/>
        </w:rPr>
        <w:t xml:space="preserve">, </w:t>
      </w:r>
      <w:r w:rsidR="009D593E" w:rsidRPr="009D593E">
        <w:rPr>
          <w:rFonts w:ascii="Times New Roman" w:hAnsi="Times New Roman" w:cs="Times New Roman"/>
          <w:sz w:val="28"/>
          <w:szCs w:val="28"/>
        </w:rPr>
        <w:t>1210000270 009 0409 610</w:t>
      </w:r>
      <w:r w:rsidR="00456C93" w:rsidRPr="009D593E">
        <w:rPr>
          <w:rFonts w:ascii="Times New Roman" w:hAnsi="Times New Roman" w:cs="Times New Roman"/>
          <w:sz w:val="28"/>
          <w:szCs w:val="28"/>
        </w:rPr>
        <w:t xml:space="preserve">, т.е. </w:t>
      </w:r>
      <w:r w:rsidR="009D593E" w:rsidRPr="009D593E">
        <w:rPr>
          <w:rFonts w:ascii="Times New Roman" w:hAnsi="Times New Roman" w:cs="Times New Roman"/>
          <w:sz w:val="28"/>
          <w:szCs w:val="28"/>
        </w:rPr>
        <w:t xml:space="preserve">200 549 471,93 </w:t>
      </w:r>
      <w:r w:rsidR="00456C93" w:rsidRPr="009D593E">
        <w:rPr>
          <w:rFonts w:ascii="Times New Roman" w:hAnsi="Times New Roman" w:cs="Times New Roman"/>
          <w:sz w:val="28"/>
          <w:szCs w:val="28"/>
        </w:rPr>
        <w:t>руб.)</w:t>
      </w:r>
      <w:r w:rsidR="00170BBB">
        <w:rPr>
          <w:rFonts w:ascii="Times New Roman" w:hAnsi="Times New Roman" w:cs="Times New Roman"/>
          <w:sz w:val="28"/>
          <w:szCs w:val="28"/>
        </w:rPr>
        <w:t>;</w:t>
      </w:r>
    </w:p>
    <w:p w:rsidR="009D593E" w:rsidRPr="008954E3" w:rsidRDefault="009D593E" w:rsidP="009D593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93E">
        <w:rPr>
          <w:rFonts w:ascii="Times New Roman" w:hAnsi="Times New Roman" w:cs="Times New Roman"/>
          <w:sz w:val="28"/>
          <w:szCs w:val="28"/>
        </w:rPr>
        <w:t xml:space="preserve">- обеспечено проведение ремонта </w:t>
      </w:r>
      <w:r w:rsidRPr="008954E3">
        <w:rPr>
          <w:rFonts w:ascii="Times New Roman" w:hAnsi="Times New Roman" w:cs="Times New Roman"/>
          <w:sz w:val="28"/>
          <w:szCs w:val="28"/>
        </w:rPr>
        <w:t>проезжей части пр. Ленинградский пр</w:t>
      </w:r>
      <w:r w:rsidRPr="008954E3">
        <w:rPr>
          <w:rFonts w:ascii="Times New Roman" w:hAnsi="Times New Roman" w:cs="Times New Roman"/>
          <w:sz w:val="28"/>
          <w:szCs w:val="28"/>
        </w:rPr>
        <w:t>о</w:t>
      </w:r>
      <w:r w:rsidRPr="008954E3">
        <w:rPr>
          <w:rFonts w:ascii="Times New Roman" w:hAnsi="Times New Roman" w:cs="Times New Roman"/>
          <w:sz w:val="28"/>
          <w:szCs w:val="28"/>
        </w:rPr>
        <w:t xml:space="preserve">тяженностью 1,36 км на общую сумму </w:t>
      </w:r>
      <w:r w:rsidR="00170BBB" w:rsidRPr="008954E3">
        <w:rPr>
          <w:rFonts w:ascii="Times New Roman" w:hAnsi="Times New Roman" w:cs="Times New Roman"/>
          <w:sz w:val="28"/>
          <w:szCs w:val="28"/>
        </w:rPr>
        <w:t>37 </w:t>
      </w:r>
      <w:r w:rsidR="008954E3" w:rsidRPr="008954E3">
        <w:rPr>
          <w:rFonts w:ascii="Times New Roman" w:hAnsi="Times New Roman" w:cs="Times New Roman"/>
          <w:sz w:val="28"/>
          <w:szCs w:val="28"/>
        </w:rPr>
        <w:t>126</w:t>
      </w:r>
      <w:r w:rsidR="00170BBB" w:rsidRPr="008954E3">
        <w:rPr>
          <w:rFonts w:ascii="Times New Roman" w:hAnsi="Times New Roman" w:cs="Times New Roman"/>
          <w:sz w:val="28"/>
          <w:szCs w:val="28"/>
        </w:rPr>
        <w:t> </w:t>
      </w:r>
      <w:r w:rsidR="008954E3" w:rsidRPr="008954E3">
        <w:rPr>
          <w:rFonts w:ascii="Times New Roman" w:hAnsi="Times New Roman" w:cs="Times New Roman"/>
          <w:sz w:val="28"/>
          <w:szCs w:val="28"/>
        </w:rPr>
        <w:t>507</w:t>
      </w:r>
      <w:r w:rsidR="00170BBB" w:rsidRPr="008954E3">
        <w:rPr>
          <w:rFonts w:ascii="Times New Roman" w:hAnsi="Times New Roman" w:cs="Times New Roman"/>
          <w:sz w:val="28"/>
          <w:szCs w:val="28"/>
        </w:rPr>
        <w:t>,</w:t>
      </w:r>
      <w:r w:rsidR="008954E3" w:rsidRPr="008954E3">
        <w:rPr>
          <w:rFonts w:ascii="Times New Roman" w:hAnsi="Times New Roman" w:cs="Times New Roman"/>
          <w:sz w:val="28"/>
          <w:szCs w:val="28"/>
        </w:rPr>
        <w:t>00</w:t>
      </w:r>
      <w:r w:rsidRPr="008954E3">
        <w:rPr>
          <w:rFonts w:ascii="Times New Roman" w:hAnsi="Times New Roman" w:cs="Times New Roman"/>
          <w:sz w:val="28"/>
          <w:szCs w:val="28"/>
        </w:rPr>
        <w:t xml:space="preserve"> руб</w:t>
      </w:r>
      <w:r w:rsidR="00170BBB" w:rsidRPr="008954E3">
        <w:rPr>
          <w:rFonts w:ascii="Times New Roman" w:hAnsi="Times New Roman" w:cs="Times New Roman"/>
          <w:sz w:val="28"/>
          <w:szCs w:val="28"/>
        </w:rPr>
        <w:t>.</w:t>
      </w:r>
      <w:r w:rsidRPr="008954E3">
        <w:rPr>
          <w:rFonts w:ascii="Times New Roman" w:hAnsi="Times New Roman" w:cs="Times New Roman"/>
          <w:sz w:val="28"/>
          <w:szCs w:val="28"/>
        </w:rPr>
        <w:t xml:space="preserve">, в том числе </w:t>
      </w:r>
      <w:r w:rsidR="00170BBB" w:rsidRPr="008954E3">
        <w:rPr>
          <w:rFonts w:ascii="Times New Roman" w:hAnsi="Times New Roman" w:cs="Times New Roman"/>
          <w:sz w:val="28"/>
          <w:szCs w:val="28"/>
        </w:rPr>
        <w:t>36</w:t>
      </w:r>
      <w:r w:rsidR="00170BBB" w:rsidRPr="008954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70BBB" w:rsidRPr="008954E3">
        <w:rPr>
          <w:rFonts w:ascii="Times New Roman" w:hAnsi="Times New Roman" w:cs="Times New Roman"/>
          <w:sz w:val="28"/>
          <w:szCs w:val="28"/>
        </w:rPr>
        <w:t>679</w:t>
      </w:r>
      <w:r w:rsidR="00170BBB" w:rsidRPr="008954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70BBB" w:rsidRPr="008954E3">
        <w:rPr>
          <w:rFonts w:ascii="Times New Roman" w:hAnsi="Times New Roman" w:cs="Times New Roman"/>
          <w:sz w:val="28"/>
          <w:szCs w:val="28"/>
        </w:rPr>
        <w:t>300, 00</w:t>
      </w:r>
      <w:r w:rsidRPr="008954E3">
        <w:rPr>
          <w:rFonts w:ascii="Times New Roman" w:hAnsi="Times New Roman" w:cs="Times New Roman"/>
          <w:sz w:val="28"/>
          <w:szCs w:val="28"/>
        </w:rPr>
        <w:t> </w:t>
      </w:r>
      <w:r w:rsidR="00170BBB" w:rsidRPr="008954E3">
        <w:rPr>
          <w:rFonts w:ascii="Times New Roman" w:hAnsi="Times New Roman" w:cs="Times New Roman"/>
          <w:sz w:val="28"/>
          <w:szCs w:val="28"/>
        </w:rPr>
        <w:t xml:space="preserve"> </w:t>
      </w:r>
      <w:r w:rsidRPr="008954E3">
        <w:rPr>
          <w:rFonts w:ascii="Times New Roman" w:hAnsi="Times New Roman" w:cs="Times New Roman"/>
          <w:sz w:val="28"/>
          <w:szCs w:val="28"/>
        </w:rPr>
        <w:t>руб</w:t>
      </w:r>
      <w:r w:rsidR="00170BBB" w:rsidRPr="008954E3">
        <w:rPr>
          <w:rFonts w:ascii="Times New Roman" w:hAnsi="Times New Roman" w:cs="Times New Roman"/>
          <w:sz w:val="28"/>
          <w:szCs w:val="28"/>
        </w:rPr>
        <w:t>.</w:t>
      </w:r>
      <w:r w:rsidRPr="008954E3"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 (12100S5090 009 0409 240 и 12100S7450 009 0409 240);</w:t>
      </w:r>
    </w:p>
    <w:p w:rsidR="009D593E" w:rsidRPr="008954E3" w:rsidRDefault="009D593E" w:rsidP="009D593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4E3">
        <w:rPr>
          <w:rFonts w:ascii="Times New Roman" w:hAnsi="Times New Roman" w:cs="Times New Roman"/>
          <w:sz w:val="28"/>
          <w:szCs w:val="28"/>
        </w:rPr>
        <w:t>- проведены лабораторные исследования выполненных работ (251 205,48 руб.);</w:t>
      </w:r>
    </w:p>
    <w:p w:rsidR="009D593E" w:rsidRDefault="009D593E" w:rsidP="009D593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61A2">
        <w:rPr>
          <w:rFonts w:ascii="Times New Roman" w:hAnsi="Times New Roman" w:cs="Times New Roman"/>
          <w:sz w:val="28"/>
          <w:szCs w:val="28"/>
        </w:rPr>
        <w:t>организована разработка проектно сметной документации на:</w:t>
      </w:r>
    </w:p>
    <w:p w:rsidR="002C61A2" w:rsidRDefault="002C61A2" w:rsidP="009D593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</w:t>
      </w:r>
      <w:r w:rsidRPr="002C61A2">
        <w:rPr>
          <w:rFonts w:ascii="Times New Roman" w:hAnsi="Times New Roman" w:cs="Times New Roman"/>
          <w:sz w:val="28"/>
          <w:szCs w:val="28"/>
        </w:rPr>
        <w:t>троительство внутриквартального проезда МКР №5 северная часть за счет средств муниципального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(312 035,94 руб. — п</w:t>
      </w:r>
      <w:r w:rsidRPr="002C61A2">
        <w:rPr>
          <w:rFonts w:ascii="Times New Roman" w:hAnsi="Times New Roman" w:cs="Times New Roman"/>
          <w:sz w:val="28"/>
          <w:szCs w:val="28"/>
        </w:rPr>
        <w:t>одрядч</w:t>
      </w:r>
      <w:r w:rsidRPr="002C61A2">
        <w:rPr>
          <w:rFonts w:ascii="Times New Roman" w:hAnsi="Times New Roman" w:cs="Times New Roman"/>
          <w:sz w:val="28"/>
          <w:szCs w:val="28"/>
        </w:rPr>
        <w:t>и</w:t>
      </w:r>
      <w:r w:rsidRPr="002C61A2">
        <w:rPr>
          <w:rFonts w:ascii="Times New Roman" w:hAnsi="Times New Roman" w:cs="Times New Roman"/>
          <w:sz w:val="28"/>
          <w:szCs w:val="28"/>
        </w:rPr>
        <w:t>ком по разработке ПСД не полностью исполнены обязательства: ПСД находи</w:t>
      </w:r>
      <w:r w:rsidRPr="002C61A2">
        <w:rPr>
          <w:rFonts w:ascii="Times New Roman" w:hAnsi="Times New Roman" w:cs="Times New Roman"/>
          <w:sz w:val="28"/>
          <w:szCs w:val="28"/>
        </w:rPr>
        <w:t>т</w:t>
      </w:r>
      <w:r w:rsidRPr="002C61A2">
        <w:rPr>
          <w:rFonts w:ascii="Times New Roman" w:hAnsi="Times New Roman" w:cs="Times New Roman"/>
          <w:sz w:val="28"/>
          <w:szCs w:val="28"/>
        </w:rPr>
        <w:t xml:space="preserve">ся на </w:t>
      </w:r>
      <w:proofErr w:type="spellStart"/>
      <w:r w:rsidRPr="002C61A2">
        <w:rPr>
          <w:rFonts w:ascii="Times New Roman" w:hAnsi="Times New Roman" w:cs="Times New Roman"/>
          <w:sz w:val="28"/>
          <w:szCs w:val="28"/>
        </w:rPr>
        <w:t>гос.экспертизе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</w:p>
    <w:p w:rsidR="002C61A2" w:rsidRDefault="002C61A2" w:rsidP="009D593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</w:t>
      </w:r>
      <w:r w:rsidRPr="002C61A2">
        <w:rPr>
          <w:rFonts w:ascii="Times New Roman" w:hAnsi="Times New Roman" w:cs="Times New Roman"/>
          <w:sz w:val="28"/>
          <w:szCs w:val="28"/>
        </w:rPr>
        <w:t>троительство инженерных коммуникаций, проездов в районах инд</w:t>
      </w:r>
      <w:r w:rsidRPr="002C61A2">
        <w:rPr>
          <w:rFonts w:ascii="Times New Roman" w:hAnsi="Times New Roman" w:cs="Times New Roman"/>
          <w:sz w:val="28"/>
          <w:szCs w:val="28"/>
        </w:rPr>
        <w:t>и</w:t>
      </w:r>
      <w:r w:rsidRPr="002C61A2">
        <w:rPr>
          <w:rFonts w:ascii="Times New Roman" w:hAnsi="Times New Roman" w:cs="Times New Roman"/>
          <w:sz w:val="28"/>
          <w:szCs w:val="28"/>
        </w:rPr>
        <w:t>видуальной жилой застройки (район ул. Саянская I очередь), (район ул. Сая</w:t>
      </w:r>
      <w:r w:rsidRPr="002C61A2">
        <w:rPr>
          <w:rFonts w:ascii="Times New Roman" w:hAnsi="Times New Roman" w:cs="Times New Roman"/>
          <w:sz w:val="28"/>
          <w:szCs w:val="28"/>
        </w:rPr>
        <w:t>н</w:t>
      </w:r>
      <w:r w:rsidRPr="002C61A2">
        <w:rPr>
          <w:rFonts w:ascii="Times New Roman" w:hAnsi="Times New Roman" w:cs="Times New Roman"/>
          <w:sz w:val="28"/>
          <w:szCs w:val="28"/>
        </w:rPr>
        <w:t>ская II очередь). Улично-дорожная сеть улицы Верхняя Саянская и Горный проезд за счет средств муниципального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(444 897,63 руб. — р</w:t>
      </w:r>
      <w:r w:rsidRPr="002C61A2">
        <w:rPr>
          <w:rFonts w:ascii="Times New Roman" w:hAnsi="Times New Roman" w:cs="Times New Roman"/>
          <w:sz w:val="28"/>
          <w:szCs w:val="28"/>
        </w:rPr>
        <w:t xml:space="preserve">асторжение </w:t>
      </w:r>
      <w:proofErr w:type="spellStart"/>
      <w:r w:rsidRPr="002C61A2">
        <w:rPr>
          <w:rFonts w:ascii="Times New Roman" w:hAnsi="Times New Roman" w:cs="Times New Roman"/>
          <w:sz w:val="28"/>
          <w:szCs w:val="28"/>
        </w:rPr>
        <w:t>мун.контракта</w:t>
      </w:r>
      <w:proofErr w:type="spellEnd"/>
      <w:r w:rsidRPr="002C61A2">
        <w:rPr>
          <w:rFonts w:ascii="Times New Roman" w:hAnsi="Times New Roman" w:cs="Times New Roman"/>
          <w:sz w:val="28"/>
          <w:szCs w:val="28"/>
        </w:rPr>
        <w:t xml:space="preserve"> МКУ "УКС" по причине неисполнения подрядч</w:t>
      </w:r>
      <w:r w:rsidRPr="002C61A2">
        <w:rPr>
          <w:rFonts w:ascii="Times New Roman" w:hAnsi="Times New Roman" w:cs="Times New Roman"/>
          <w:sz w:val="28"/>
          <w:szCs w:val="28"/>
        </w:rPr>
        <w:t>и</w:t>
      </w:r>
      <w:r w:rsidRPr="002C61A2">
        <w:rPr>
          <w:rFonts w:ascii="Times New Roman" w:hAnsi="Times New Roman" w:cs="Times New Roman"/>
          <w:sz w:val="28"/>
          <w:szCs w:val="28"/>
        </w:rPr>
        <w:t>ком обязательств по разработке ПСД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C61A2" w:rsidRDefault="002C61A2" w:rsidP="009D593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</w:t>
      </w:r>
      <w:r w:rsidRPr="002C61A2">
        <w:rPr>
          <w:rFonts w:ascii="Times New Roman" w:hAnsi="Times New Roman" w:cs="Times New Roman"/>
          <w:sz w:val="28"/>
          <w:szCs w:val="28"/>
        </w:rPr>
        <w:t>троительство проездов в районах индивидуальной жилой застройки (район ул.Енисейская) за счет средств муниципального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(262 906,53 руб. — р</w:t>
      </w:r>
      <w:r w:rsidRPr="002C61A2">
        <w:rPr>
          <w:rFonts w:ascii="Times New Roman" w:hAnsi="Times New Roman" w:cs="Times New Roman"/>
          <w:sz w:val="28"/>
          <w:szCs w:val="28"/>
        </w:rPr>
        <w:t xml:space="preserve">асторжение </w:t>
      </w:r>
      <w:proofErr w:type="spellStart"/>
      <w:r w:rsidRPr="002C61A2">
        <w:rPr>
          <w:rFonts w:ascii="Times New Roman" w:hAnsi="Times New Roman" w:cs="Times New Roman"/>
          <w:sz w:val="28"/>
          <w:szCs w:val="28"/>
        </w:rPr>
        <w:t>мун.контракта</w:t>
      </w:r>
      <w:proofErr w:type="spellEnd"/>
      <w:r w:rsidRPr="002C61A2">
        <w:rPr>
          <w:rFonts w:ascii="Times New Roman" w:hAnsi="Times New Roman" w:cs="Times New Roman"/>
          <w:sz w:val="28"/>
          <w:szCs w:val="28"/>
        </w:rPr>
        <w:t xml:space="preserve"> МКУ "УКС" по причине неи</w:t>
      </w:r>
      <w:r w:rsidRPr="002C61A2">
        <w:rPr>
          <w:rFonts w:ascii="Times New Roman" w:hAnsi="Times New Roman" w:cs="Times New Roman"/>
          <w:sz w:val="28"/>
          <w:szCs w:val="28"/>
        </w:rPr>
        <w:t>с</w:t>
      </w:r>
      <w:r w:rsidRPr="002C61A2">
        <w:rPr>
          <w:rFonts w:ascii="Times New Roman" w:hAnsi="Times New Roman" w:cs="Times New Roman"/>
          <w:sz w:val="28"/>
          <w:szCs w:val="28"/>
        </w:rPr>
        <w:t>полнения подрядчиком обязательств по разработке ПСД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C61A2" w:rsidRDefault="002C61A2" w:rsidP="009D593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</w:t>
      </w:r>
      <w:r w:rsidRPr="002C61A2">
        <w:rPr>
          <w:rFonts w:ascii="Times New Roman" w:hAnsi="Times New Roman" w:cs="Times New Roman"/>
          <w:sz w:val="28"/>
          <w:szCs w:val="28"/>
        </w:rPr>
        <w:t>троительство, реконструкция проездов в районах индивидуальной ж</w:t>
      </w:r>
      <w:r w:rsidRPr="002C61A2">
        <w:rPr>
          <w:rFonts w:ascii="Times New Roman" w:hAnsi="Times New Roman" w:cs="Times New Roman"/>
          <w:sz w:val="28"/>
          <w:szCs w:val="28"/>
        </w:rPr>
        <w:t>и</w:t>
      </w:r>
      <w:r w:rsidRPr="002C61A2">
        <w:rPr>
          <w:rFonts w:ascii="Times New Roman" w:hAnsi="Times New Roman" w:cs="Times New Roman"/>
          <w:sz w:val="28"/>
          <w:szCs w:val="28"/>
        </w:rPr>
        <w:t>лой застройки (район ветлечебницы) за счет средств муниципального дорожн</w:t>
      </w:r>
      <w:r w:rsidRPr="002C61A2">
        <w:rPr>
          <w:rFonts w:ascii="Times New Roman" w:hAnsi="Times New Roman" w:cs="Times New Roman"/>
          <w:sz w:val="28"/>
          <w:szCs w:val="28"/>
        </w:rPr>
        <w:t>о</w:t>
      </w:r>
      <w:r w:rsidRPr="002C61A2">
        <w:rPr>
          <w:rFonts w:ascii="Times New Roman" w:hAnsi="Times New Roman" w:cs="Times New Roman"/>
          <w:sz w:val="28"/>
          <w:szCs w:val="28"/>
        </w:rPr>
        <w:t>го фонда</w:t>
      </w:r>
      <w:r>
        <w:rPr>
          <w:rFonts w:ascii="Times New Roman" w:hAnsi="Times New Roman" w:cs="Times New Roman"/>
          <w:sz w:val="28"/>
          <w:szCs w:val="28"/>
        </w:rPr>
        <w:t xml:space="preserve"> (298 913,63 руб. — </w:t>
      </w:r>
      <w:r w:rsidRPr="002C61A2">
        <w:rPr>
          <w:rFonts w:ascii="Times New Roman" w:hAnsi="Times New Roman" w:cs="Times New Roman"/>
          <w:sz w:val="28"/>
          <w:szCs w:val="28"/>
        </w:rPr>
        <w:t xml:space="preserve">Подрядчиком по разработке ПСД не полностью исполнены обязательства: ПСД находится на </w:t>
      </w:r>
      <w:proofErr w:type="spellStart"/>
      <w:r w:rsidRPr="002C61A2">
        <w:rPr>
          <w:rFonts w:ascii="Times New Roman" w:hAnsi="Times New Roman" w:cs="Times New Roman"/>
          <w:sz w:val="28"/>
          <w:szCs w:val="28"/>
        </w:rPr>
        <w:t>гос.экспертизе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2C61A2" w:rsidRDefault="002C61A2" w:rsidP="009D593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C61A2">
        <w:rPr>
          <w:rFonts w:ascii="Times New Roman" w:hAnsi="Times New Roman" w:cs="Times New Roman"/>
          <w:sz w:val="28"/>
          <w:szCs w:val="28"/>
        </w:rPr>
        <w:t>- приобретена техника для выполнения работ по содержанию дорог и те</w:t>
      </w:r>
      <w:r w:rsidRPr="002C61A2">
        <w:rPr>
          <w:rFonts w:ascii="Times New Roman" w:hAnsi="Times New Roman" w:cs="Times New Roman"/>
          <w:sz w:val="28"/>
          <w:szCs w:val="28"/>
        </w:rPr>
        <w:t>р</w:t>
      </w:r>
      <w:r w:rsidRPr="002C61A2">
        <w:rPr>
          <w:rFonts w:ascii="Times New Roman" w:hAnsi="Times New Roman" w:cs="Times New Roman"/>
          <w:sz w:val="28"/>
          <w:szCs w:val="28"/>
        </w:rPr>
        <w:t xml:space="preserve">риторий общего пользования: </w:t>
      </w:r>
      <w:r w:rsidRPr="002C61A2">
        <w:rPr>
          <w:rFonts w:ascii="Times New Roman" w:hAnsi="Times New Roman"/>
          <w:sz w:val="28"/>
          <w:szCs w:val="28"/>
        </w:rPr>
        <w:t>3 новых грейдера легкого класса, 1 комбинир</w:t>
      </w:r>
      <w:r w:rsidRPr="002C61A2">
        <w:rPr>
          <w:rFonts w:ascii="Times New Roman" w:hAnsi="Times New Roman"/>
          <w:sz w:val="28"/>
          <w:szCs w:val="28"/>
        </w:rPr>
        <w:t>о</w:t>
      </w:r>
      <w:r w:rsidRPr="002C61A2">
        <w:rPr>
          <w:rFonts w:ascii="Times New Roman" w:hAnsi="Times New Roman"/>
          <w:sz w:val="28"/>
          <w:szCs w:val="28"/>
        </w:rPr>
        <w:t>ванная дорожная машина и 1 фронтальный погрузчик (30</w:t>
      </w:r>
      <w:r>
        <w:rPr>
          <w:rFonts w:ascii="Times New Roman" w:hAnsi="Times New Roman"/>
          <w:sz w:val="28"/>
          <w:szCs w:val="28"/>
        </w:rPr>
        <w:t> </w:t>
      </w:r>
      <w:r w:rsidRPr="002C61A2">
        <w:rPr>
          <w:rFonts w:ascii="Times New Roman" w:hAnsi="Times New Roman"/>
          <w:sz w:val="28"/>
          <w:szCs w:val="28"/>
        </w:rPr>
        <w:t>364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497,60</w:t>
      </w:r>
      <w:r w:rsidRPr="002C61A2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.)</w:t>
      </w:r>
      <w:r w:rsidR="00170BBB">
        <w:rPr>
          <w:rFonts w:ascii="Times New Roman" w:hAnsi="Times New Roman"/>
          <w:sz w:val="28"/>
          <w:szCs w:val="28"/>
        </w:rPr>
        <w:t>.</w:t>
      </w:r>
    </w:p>
    <w:p w:rsidR="00E30999" w:rsidRPr="00DC582F" w:rsidRDefault="00E30999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75C0" w:rsidRPr="00DC582F" w:rsidRDefault="00170BBB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B075C0" w:rsidRPr="00DC582F">
        <w:rPr>
          <w:rFonts w:ascii="Times New Roman" w:hAnsi="Times New Roman" w:cs="Times New Roman"/>
          <w:sz w:val="28"/>
          <w:szCs w:val="28"/>
        </w:rPr>
        <w:t>одпрограмма «Повышение безопасности дорожного движения на д</w:t>
      </w:r>
      <w:r w:rsidR="00B075C0" w:rsidRPr="00DC582F">
        <w:rPr>
          <w:rFonts w:ascii="Times New Roman" w:hAnsi="Times New Roman" w:cs="Times New Roman"/>
          <w:sz w:val="28"/>
          <w:szCs w:val="28"/>
        </w:rPr>
        <w:t>о</w:t>
      </w:r>
      <w:r w:rsidR="00B075C0" w:rsidRPr="00DC582F">
        <w:rPr>
          <w:rFonts w:ascii="Times New Roman" w:hAnsi="Times New Roman" w:cs="Times New Roman"/>
          <w:sz w:val="28"/>
          <w:szCs w:val="28"/>
        </w:rPr>
        <w:t>рогах общего пользования местного значения»:</w:t>
      </w:r>
    </w:p>
    <w:p w:rsidR="00D7636F" w:rsidRPr="00B945EF" w:rsidRDefault="00D7636F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организована работа по эвакуации брошенных автотранспортных </w:t>
      </w:r>
      <w:r w:rsidRPr="00B945EF">
        <w:rPr>
          <w:rFonts w:ascii="Times New Roman" w:hAnsi="Times New Roman" w:cs="Times New Roman"/>
          <w:sz w:val="28"/>
          <w:szCs w:val="28"/>
        </w:rPr>
        <w:t xml:space="preserve">средств. В работе в течение года  находилось </w:t>
      </w:r>
      <w:r w:rsidR="002C61A2" w:rsidRPr="00B945EF">
        <w:rPr>
          <w:rFonts w:ascii="Times New Roman" w:hAnsi="Times New Roman" w:cs="Times New Roman"/>
          <w:sz w:val="28"/>
          <w:szCs w:val="28"/>
        </w:rPr>
        <w:t>53</w:t>
      </w:r>
      <w:r w:rsidRPr="00B945EF">
        <w:rPr>
          <w:rFonts w:ascii="Times New Roman" w:hAnsi="Times New Roman" w:cs="Times New Roman"/>
          <w:sz w:val="28"/>
          <w:szCs w:val="28"/>
        </w:rPr>
        <w:t xml:space="preserve"> автотранспортных средств. В рамках мероприятий про</w:t>
      </w:r>
      <w:r w:rsidR="002C61A2" w:rsidRPr="00B945EF">
        <w:rPr>
          <w:rFonts w:ascii="Times New Roman" w:hAnsi="Times New Roman" w:cs="Times New Roman"/>
          <w:sz w:val="28"/>
          <w:szCs w:val="28"/>
        </w:rPr>
        <w:t>изво</w:t>
      </w:r>
      <w:r w:rsidRPr="00B945EF">
        <w:rPr>
          <w:rFonts w:ascii="Times New Roman" w:hAnsi="Times New Roman" w:cs="Times New Roman"/>
          <w:sz w:val="28"/>
          <w:szCs w:val="28"/>
        </w:rPr>
        <w:t xml:space="preserve">дилась оплата </w:t>
      </w:r>
      <w:r w:rsidR="00DC582F" w:rsidRPr="00B945EF">
        <w:rPr>
          <w:rFonts w:ascii="Times New Roman" w:hAnsi="Times New Roman" w:cs="Times New Roman"/>
          <w:sz w:val="28"/>
          <w:szCs w:val="28"/>
        </w:rPr>
        <w:t>хранени</w:t>
      </w:r>
      <w:r w:rsidR="002C61A2" w:rsidRPr="00B945EF">
        <w:rPr>
          <w:rFonts w:ascii="Times New Roman" w:hAnsi="Times New Roman" w:cs="Times New Roman"/>
          <w:sz w:val="28"/>
          <w:szCs w:val="28"/>
        </w:rPr>
        <w:t>я</w:t>
      </w:r>
      <w:r w:rsidR="00DC582F" w:rsidRPr="00B945EF">
        <w:rPr>
          <w:rFonts w:ascii="Times New Roman" w:hAnsi="Times New Roman" w:cs="Times New Roman"/>
          <w:sz w:val="28"/>
          <w:szCs w:val="28"/>
        </w:rPr>
        <w:t xml:space="preserve"> ранее </w:t>
      </w:r>
      <w:r w:rsidR="002C61A2" w:rsidRPr="00B945EF">
        <w:rPr>
          <w:rFonts w:ascii="Times New Roman" w:hAnsi="Times New Roman" w:cs="Times New Roman"/>
          <w:sz w:val="28"/>
          <w:szCs w:val="28"/>
        </w:rPr>
        <w:t xml:space="preserve">перемещенных на специализированную площадку </w:t>
      </w:r>
      <w:r w:rsidR="00DC582F" w:rsidRPr="00B945EF">
        <w:rPr>
          <w:rFonts w:ascii="Times New Roman" w:hAnsi="Times New Roman" w:cs="Times New Roman"/>
          <w:sz w:val="28"/>
          <w:szCs w:val="28"/>
        </w:rPr>
        <w:t>автомобилей</w:t>
      </w:r>
      <w:r w:rsidR="00456C93" w:rsidRPr="00B945EF">
        <w:rPr>
          <w:rFonts w:ascii="Times New Roman" w:hAnsi="Times New Roman" w:cs="Times New Roman"/>
          <w:sz w:val="28"/>
          <w:szCs w:val="28"/>
        </w:rPr>
        <w:t xml:space="preserve"> (</w:t>
      </w:r>
      <w:r w:rsidR="002C61A2" w:rsidRPr="00B945EF">
        <w:rPr>
          <w:rFonts w:ascii="Times New Roman" w:hAnsi="Times New Roman" w:cs="Times New Roman"/>
          <w:sz w:val="28"/>
          <w:szCs w:val="28"/>
        </w:rPr>
        <w:t>102 480</w:t>
      </w:r>
      <w:r w:rsidR="00456C93" w:rsidRPr="00B945EF">
        <w:rPr>
          <w:rFonts w:ascii="Times New Roman" w:hAnsi="Times New Roman" w:cs="Times New Roman"/>
          <w:sz w:val="28"/>
          <w:szCs w:val="28"/>
        </w:rPr>
        <w:t>,00</w:t>
      </w:r>
      <w:r w:rsidR="002C61A2" w:rsidRPr="00B945EF">
        <w:rPr>
          <w:rFonts w:ascii="Times New Roman" w:hAnsi="Times New Roman" w:cs="Times New Roman"/>
          <w:sz w:val="28"/>
          <w:szCs w:val="28"/>
        </w:rPr>
        <w:t xml:space="preserve"> руб.</w:t>
      </w:r>
      <w:r w:rsidR="00456C93" w:rsidRPr="00B945EF">
        <w:rPr>
          <w:rFonts w:ascii="Times New Roman" w:hAnsi="Times New Roman" w:cs="Times New Roman"/>
          <w:sz w:val="28"/>
          <w:szCs w:val="28"/>
        </w:rPr>
        <w:t>)</w:t>
      </w:r>
      <w:r w:rsidR="00B945EF" w:rsidRPr="00B945EF">
        <w:rPr>
          <w:rFonts w:ascii="Times New Roman" w:hAnsi="Times New Roman" w:cs="Times New Roman"/>
          <w:sz w:val="28"/>
          <w:szCs w:val="28"/>
        </w:rPr>
        <w:t>;</w:t>
      </w:r>
    </w:p>
    <w:p w:rsidR="00D7636F" w:rsidRPr="00B945EF" w:rsidRDefault="00D7636F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5EF">
        <w:rPr>
          <w:rFonts w:ascii="Times New Roman" w:hAnsi="Times New Roman" w:cs="Times New Roman"/>
          <w:sz w:val="28"/>
          <w:szCs w:val="28"/>
        </w:rPr>
        <w:t>- установлено 3 баннера по тематике безопасность дорожного движения, а так же приобретен</w:t>
      </w:r>
      <w:r w:rsidR="00B945EF" w:rsidRPr="00B945EF">
        <w:rPr>
          <w:rFonts w:ascii="Times New Roman" w:hAnsi="Times New Roman" w:cs="Times New Roman"/>
          <w:sz w:val="28"/>
          <w:szCs w:val="28"/>
        </w:rPr>
        <w:t>ы</w:t>
      </w:r>
      <w:r w:rsidRPr="00B945EF">
        <w:rPr>
          <w:rFonts w:ascii="Times New Roman" w:hAnsi="Times New Roman" w:cs="Times New Roman"/>
          <w:sz w:val="28"/>
          <w:szCs w:val="28"/>
        </w:rPr>
        <w:t xml:space="preserve"> и распространен</w:t>
      </w:r>
      <w:r w:rsidR="00B945EF" w:rsidRPr="00B945EF">
        <w:rPr>
          <w:rFonts w:ascii="Times New Roman" w:hAnsi="Times New Roman" w:cs="Times New Roman"/>
          <w:sz w:val="28"/>
          <w:szCs w:val="28"/>
        </w:rPr>
        <w:t>ы</w:t>
      </w:r>
      <w:r w:rsidRPr="00B945EF">
        <w:rPr>
          <w:rFonts w:ascii="Times New Roman" w:hAnsi="Times New Roman" w:cs="Times New Roman"/>
          <w:sz w:val="28"/>
          <w:szCs w:val="28"/>
        </w:rPr>
        <w:t xml:space="preserve"> </w:t>
      </w:r>
      <w:r w:rsidR="00B945EF" w:rsidRPr="00B945EF">
        <w:rPr>
          <w:rFonts w:ascii="Times New Roman" w:hAnsi="Times New Roman" w:cs="Times New Roman"/>
          <w:sz w:val="28"/>
          <w:szCs w:val="28"/>
        </w:rPr>
        <w:t>сувенирная и полиграфическая проду</w:t>
      </w:r>
      <w:r w:rsidR="00B945EF" w:rsidRPr="00B945EF">
        <w:rPr>
          <w:rFonts w:ascii="Times New Roman" w:hAnsi="Times New Roman" w:cs="Times New Roman"/>
          <w:sz w:val="28"/>
          <w:szCs w:val="28"/>
        </w:rPr>
        <w:t>к</w:t>
      </w:r>
      <w:r w:rsidR="00B945EF" w:rsidRPr="00B945EF">
        <w:rPr>
          <w:rFonts w:ascii="Times New Roman" w:hAnsi="Times New Roman" w:cs="Times New Roman"/>
          <w:sz w:val="28"/>
          <w:szCs w:val="28"/>
        </w:rPr>
        <w:t xml:space="preserve">ция в количестве 1520 </w:t>
      </w:r>
      <w:r w:rsidRPr="00B945EF">
        <w:rPr>
          <w:rFonts w:ascii="Times New Roman" w:hAnsi="Times New Roman" w:cs="Times New Roman"/>
          <w:sz w:val="28"/>
          <w:szCs w:val="28"/>
        </w:rPr>
        <w:t>штук</w:t>
      </w:r>
      <w:r w:rsidR="00456C93" w:rsidRPr="00B945EF">
        <w:rPr>
          <w:rFonts w:ascii="Times New Roman" w:hAnsi="Times New Roman" w:cs="Times New Roman"/>
          <w:sz w:val="28"/>
          <w:szCs w:val="28"/>
        </w:rPr>
        <w:t xml:space="preserve"> (90 000,00</w:t>
      </w:r>
      <w:r w:rsidR="00B945EF" w:rsidRPr="00B945EF">
        <w:rPr>
          <w:rFonts w:ascii="Times New Roman" w:hAnsi="Times New Roman" w:cs="Times New Roman"/>
          <w:sz w:val="28"/>
          <w:szCs w:val="28"/>
        </w:rPr>
        <w:t xml:space="preserve"> руб.</w:t>
      </w:r>
      <w:r w:rsidR="00456C93" w:rsidRPr="00B945EF">
        <w:rPr>
          <w:rFonts w:ascii="Times New Roman" w:hAnsi="Times New Roman" w:cs="Times New Roman"/>
          <w:sz w:val="28"/>
          <w:szCs w:val="28"/>
        </w:rPr>
        <w:t>)</w:t>
      </w:r>
      <w:r w:rsidR="00B945EF">
        <w:rPr>
          <w:rFonts w:ascii="Times New Roman" w:hAnsi="Times New Roman" w:cs="Times New Roman"/>
          <w:sz w:val="28"/>
          <w:szCs w:val="28"/>
        </w:rPr>
        <w:t>;</w:t>
      </w:r>
    </w:p>
    <w:p w:rsidR="00590B39" w:rsidRDefault="00B945EF" w:rsidP="00456C93">
      <w:pPr>
        <w:pStyle w:val="a7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уплачены административные штрафы по протоколам об администрати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ных правонарушениях (305 000,00 руб.);</w:t>
      </w:r>
    </w:p>
    <w:p w:rsidR="00B945EF" w:rsidRDefault="00B945EF" w:rsidP="00456C93">
      <w:pPr>
        <w:pStyle w:val="a7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произведена установка 112 метров пешеходного ограждения на регул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руемых пешеходных переходах на перекрестке ул. Андреева и ул. </w:t>
      </w:r>
      <w:r w:rsidR="001A7ECF">
        <w:rPr>
          <w:rFonts w:ascii="Times New Roman" w:hAnsi="Times New Roman" w:cs="Times New Roman"/>
          <w:color w:val="000000" w:themeColor="text1"/>
          <w:sz w:val="28"/>
          <w:szCs w:val="28"/>
        </w:rPr>
        <w:t>Школьная (404 998,84 руб.);</w:t>
      </w:r>
    </w:p>
    <w:p w:rsidR="001A7ECF" w:rsidRDefault="001A7ECF" w:rsidP="00456C93">
      <w:pPr>
        <w:pStyle w:val="a7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три пешехода вблизи образовательных учреждений (Мариинская гимн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зия, гимназия №103 и СЮТ) оборудованы в соответствии с требованиями, предъявляемыми к таким пешеходным переходам: светофоры Т.7, пешеходное ограждение, искусственная неровность, соответствующие знаки (4 355 624,00 руб.);</w:t>
      </w:r>
    </w:p>
    <w:p w:rsidR="001A7ECF" w:rsidRDefault="001A7ECF" w:rsidP="00456C93">
      <w:pPr>
        <w:pStyle w:val="a7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приобретено игровое оборудование для обучения в игровой форме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вилам дорожного движения для детских садов 23, 37, 62, в гимназии №91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обретен электронный игровой стенд для тех же целей. Приобретены 896 свет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отражающих наклеек для обеспечения безопасности дорожного движения уч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ников первых классов школь города (276 700,00 руб.).</w:t>
      </w:r>
    </w:p>
    <w:p w:rsidR="001A7ECF" w:rsidRPr="00350276" w:rsidRDefault="001A7ECF" w:rsidP="00456C93">
      <w:pPr>
        <w:pStyle w:val="a7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1FE3" w:rsidRPr="001A7ECF" w:rsidRDefault="00170BBB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D1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D1FE3">
        <w:rPr>
          <w:rFonts w:ascii="Times New Roman" w:hAnsi="Times New Roman" w:cs="Times New Roman"/>
          <w:sz w:val="28"/>
          <w:szCs w:val="28"/>
        </w:rPr>
        <w:t>одпрограмма «</w:t>
      </w:r>
      <w:r w:rsidR="006C01C0">
        <w:rPr>
          <w:rFonts w:ascii="Times New Roman" w:hAnsi="Times New Roman" w:cs="Times New Roman"/>
          <w:sz w:val="28"/>
          <w:szCs w:val="28"/>
        </w:rPr>
        <w:t>Со</w:t>
      </w:r>
      <w:r w:rsidR="006D1FE3" w:rsidRPr="006D1FE3">
        <w:rPr>
          <w:rFonts w:ascii="Times New Roman" w:hAnsi="Times New Roman" w:cs="Times New Roman"/>
          <w:sz w:val="28"/>
          <w:szCs w:val="28"/>
        </w:rPr>
        <w:t xml:space="preserve">здание условий для предоставления транспортных </w:t>
      </w:r>
      <w:r w:rsidR="006D1FE3" w:rsidRPr="001A7ECF">
        <w:rPr>
          <w:rFonts w:ascii="Times New Roman" w:hAnsi="Times New Roman" w:cs="Times New Roman"/>
          <w:sz w:val="28"/>
          <w:szCs w:val="28"/>
        </w:rPr>
        <w:t>услуг населению и организация транспортного обслуживания населения»:</w:t>
      </w:r>
    </w:p>
    <w:p w:rsidR="00E46C47" w:rsidRPr="00C637B5" w:rsidRDefault="001A7ECF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CF">
        <w:rPr>
          <w:rFonts w:ascii="Times New Roman" w:hAnsi="Times New Roman"/>
          <w:sz w:val="28"/>
          <w:szCs w:val="28"/>
        </w:rPr>
        <w:t>- организованы пассажирские перевозки по 20 маршрутам муниципал</w:t>
      </w:r>
      <w:r w:rsidRPr="001A7ECF">
        <w:rPr>
          <w:rFonts w:ascii="Times New Roman" w:hAnsi="Times New Roman"/>
          <w:sz w:val="28"/>
          <w:szCs w:val="28"/>
        </w:rPr>
        <w:t>ь</w:t>
      </w:r>
      <w:r w:rsidRPr="001A7ECF">
        <w:rPr>
          <w:rFonts w:ascii="Times New Roman" w:hAnsi="Times New Roman"/>
          <w:sz w:val="28"/>
          <w:szCs w:val="28"/>
        </w:rPr>
        <w:t>ной программы пассажирских перевозок с общим фактическим пробегом авт</w:t>
      </w:r>
      <w:r w:rsidRPr="001A7ECF">
        <w:rPr>
          <w:rFonts w:ascii="Times New Roman" w:hAnsi="Times New Roman"/>
          <w:sz w:val="28"/>
          <w:szCs w:val="28"/>
        </w:rPr>
        <w:t>о</w:t>
      </w:r>
      <w:r w:rsidRPr="001A7ECF">
        <w:rPr>
          <w:rFonts w:ascii="Times New Roman" w:hAnsi="Times New Roman"/>
          <w:sz w:val="28"/>
          <w:szCs w:val="28"/>
        </w:rPr>
        <w:t>бусов на маршрутах в 2020 году 4,</w:t>
      </w:r>
      <w:r w:rsidR="00D64629">
        <w:rPr>
          <w:rFonts w:ascii="Times New Roman" w:hAnsi="Times New Roman"/>
          <w:sz w:val="28"/>
          <w:szCs w:val="28"/>
        </w:rPr>
        <w:t>086</w:t>
      </w:r>
      <w:r w:rsidRPr="001A7ECF">
        <w:rPr>
          <w:rFonts w:ascii="Times New Roman" w:hAnsi="Times New Roman"/>
          <w:sz w:val="28"/>
          <w:szCs w:val="28"/>
        </w:rPr>
        <w:t> млн. км. Перевезено в течение 2020 года 5,78 млн. человек. Общее исполнение программы (отношение фактически в</w:t>
      </w:r>
      <w:r w:rsidRPr="001A7ECF">
        <w:rPr>
          <w:rFonts w:ascii="Times New Roman" w:hAnsi="Times New Roman"/>
          <w:sz w:val="28"/>
          <w:szCs w:val="28"/>
        </w:rPr>
        <w:t>ы</w:t>
      </w:r>
      <w:r w:rsidRPr="001A7ECF">
        <w:rPr>
          <w:rFonts w:ascii="Times New Roman" w:hAnsi="Times New Roman"/>
          <w:sz w:val="28"/>
          <w:szCs w:val="28"/>
        </w:rPr>
        <w:t>полненных рейсов к рейсам запланированным) остается на высоком уровне и составляет 94,9% (110 </w:t>
      </w:r>
      <w:r w:rsidRPr="00C637B5">
        <w:rPr>
          <w:rFonts w:ascii="Times New Roman" w:hAnsi="Times New Roman"/>
          <w:sz w:val="28"/>
          <w:szCs w:val="28"/>
        </w:rPr>
        <w:t>319 358,32 руб.)</w:t>
      </w:r>
    </w:p>
    <w:p w:rsidR="00590B39" w:rsidRPr="00C637B5" w:rsidRDefault="00590B39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FE3" w:rsidRPr="00C637B5" w:rsidRDefault="00170BBB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6D1FE3" w:rsidRPr="00C637B5">
        <w:rPr>
          <w:rFonts w:ascii="Times New Roman" w:hAnsi="Times New Roman" w:cs="Times New Roman"/>
          <w:sz w:val="28"/>
          <w:szCs w:val="28"/>
        </w:rPr>
        <w:t>одпрограмма «</w:t>
      </w:r>
      <w:r w:rsidR="00590B39" w:rsidRPr="00C637B5">
        <w:rPr>
          <w:rFonts w:ascii="Times New Roman" w:hAnsi="Times New Roman" w:cs="Times New Roman"/>
          <w:sz w:val="28"/>
          <w:szCs w:val="28"/>
        </w:rPr>
        <w:t>О</w:t>
      </w:r>
      <w:r w:rsidR="006D1FE3" w:rsidRPr="00C637B5">
        <w:rPr>
          <w:rFonts w:ascii="Times New Roman" w:hAnsi="Times New Roman" w:cs="Times New Roman"/>
          <w:sz w:val="28"/>
          <w:szCs w:val="28"/>
        </w:rPr>
        <w:t xml:space="preserve">рганизация благоустройства территории»: </w:t>
      </w:r>
    </w:p>
    <w:p w:rsidR="00C637B5" w:rsidRPr="00C637B5" w:rsidRDefault="00C637B5" w:rsidP="00C637B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B5">
        <w:rPr>
          <w:rFonts w:ascii="Times New Roman" w:hAnsi="Times New Roman" w:cs="Times New Roman"/>
          <w:sz w:val="28"/>
          <w:szCs w:val="28"/>
        </w:rPr>
        <w:t>- обеспечено обслуживание более 145 км  сетей уличного освещения, св</w:t>
      </w:r>
      <w:r w:rsidRPr="00C637B5">
        <w:rPr>
          <w:rFonts w:ascii="Times New Roman" w:hAnsi="Times New Roman" w:cs="Times New Roman"/>
          <w:sz w:val="28"/>
          <w:szCs w:val="28"/>
        </w:rPr>
        <w:t>е</w:t>
      </w:r>
      <w:r w:rsidRPr="00C637B5">
        <w:rPr>
          <w:rFonts w:ascii="Times New Roman" w:hAnsi="Times New Roman" w:cs="Times New Roman"/>
          <w:sz w:val="28"/>
          <w:szCs w:val="28"/>
        </w:rPr>
        <w:t>тильников, светофорных установок, дорожных знаков с подсветкой, пунктов питания объектов уличного освещения и светофорного регулирования, оплата потребленной электроэнергии (53 531 041,79 руб.)</w:t>
      </w:r>
    </w:p>
    <w:p w:rsidR="00C637B5" w:rsidRPr="00C637B5" w:rsidRDefault="006D1FE3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B5">
        <w:rPr>
          <w:rFonts w:ascii="Times New Roman" w:hAnsi="Times New Roman" w:cs="Times New Roman"/>
          <w:sz w:val="28"/>
          <w:szCs w:val="28"/>
        </w:rPr>
        <w:t xml:space="preserve">- </w:t>
      </w:r>
      <w:r w:rsidR="00182D76" w:rsidRPr="00C637B5">
        <w:rPr>
          <w:rFonts w:ascii="Times New Roman" w:hAnsi="Times New Roman" w:cs="Times New Roman"/>
          <w:sz w:val="28"/>
          <w:szCs w:val="28"/>
        </w:rPr>
        <w:t>организовано с</w:t>
      </w:r>
      <w:r w:rsidRPr="00C637B5">
        <w:rPr>
          <w:rFonts w:ascii="Times New Roman" w:hAnsi="Times New Roman" w:cs="Times New Roman"/>
          <w:sz w:val="28"/>
          <w:szCs w:val="28"/>
        </w:rPr>
        <w:t xml:space="preserve">одержание </w:t>
      </w:r>
      <w:r w:rsidR="00C637B5" w:rsidRPr="00C637B5">
        <w:rPr>
          <w:rFonts w:ascii="Times New Roman" w:hAnsi="Times New Roman" w:cs="Times New Roman"/>
          <w:sz w:val="28"/>
          <w:szCs w:val="28"/>
        </w:rPr>
        <w:t>прочих объектов благоустройства (1 276 807,22 руб.):</w:t>
      </w:r>
    </w:p>
    <w:p w:rsidR="00C637B5" w:rsidRPr="00C637B5" w:rsidRDefault="00C637B5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B5">
        <w:rPr>
          <w:rFonts w:ascii="Times New Roman" w:hAnsi="Times New Roman" w:cs="Times New Roman"/>
          <w:sz w:val="28"/>
          <w:szCs w:val="28"/>
        </w:rPr>
        <w:t xml:space="preserve">а) </w:t>
      </w:r>
      <w:r w:rsidR="006D1FE3" w:rsidRPr="00C637B5">
        <w:rPr>
          <w:rFonts w:ascii="Times New Roman" w:hAnsi="Times New Roman" w:cs="Times New Roman"/>
          <w:sz w:val="28"/>
          <w:szCs w:val="28"/>
        </w:rPr>
        <w:t>пляж</w:t>
      </w:r>
      <w:r w:rsidRPr="00C637B5">
        <w:rPr>
          <w:rFonts w:ascii="Times New Roman" w:hAnsi="Times New Roman" w:cs="Times New Roman"/>
          <w:sz w:val="28"/>
          <w:szCs w:val="28"/>
        </w:rPr>
        <w:t>а</w:t>
      </w:r>
      <w:r w:rsidR="006D1FE3" w:rsidRPr="00C637B5">
        <w:rPr>
          <w:rFonts w:ascii="Times New Roman" w:hAnsi="Times New Roman" w:cs="Times New Roman"/>
          <w:sz w:val="28"/>
          <w:szCs w:val="28"/>
        </w:rPr>
        <w:t xml:space="preserve"> </w:t>
      </w:r>
      <w:r w:rsidRPr="00C637B5">
        <w:rPr>
          <w:rFonts w:ascii="Times New Roman" w:hAnsi="Times New Roman" w:cs="Times New Roman"/>
          <w:sz w:val="28"/>
          <w:szCs w:val="28"/>
        </w:rPr>
        <w:t xml:space="preserve">пос. </w:t>
      </w:r>
      <w:r w:rsidR="006D1FE3" w:rsidRPr="00C637B5">
        <w:rPr>
          <w:rFonts w:ascii="Times New Roman" w:hAnsi="Times New Roman" w:cs="Times New Roman"/>
          <w:sz w:val="28"/>
          <w:szCs w:val="28"/>
        </w:rPr>
        <w:t xml:space="preserve">Подгорный, </w:t>
      </w:r>
    </w:p>
    <w:p w:rsidR="00C637B5" w:rsidRDefault="00C637B5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D1FE3" w:rsidRPr="006D1FE3">
        <w:rPr>
          <w:rFonts w:ascii="Times New Roman" w:hAnsi="Times New Roman" w:cs="Times New Roman"/>
          <w:sz w:val="28"/>
          <w:szCs w:val="28"/>
        </w:rPr>
        <w:t>городских часов,</w:t>
      </w:r>
    </w:p>
    <w:p w:rsidR="006D1FE3" w:rsidRPr="00C637B5" w:rsidRDefault="00C637B5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6D1FE3" w:rsidRPr="006D1FE3">
        <w:rPr>
          <w:rFonts w:ascii="Times New Roman" w:hAnsi="Times New Roman" w:cs="Times New Roman"/>
          <w:sz w:val="28"/>
          <w:szCs w:val="28"/>
        </w:rPr>
        <w:t xml:space="preserve"> общественных туалетов</w:t>
      </w:r>
      <w:r w:rsidRPr="00C637B5">
        <w:rPr>
          <w:rFonts w:ascii="Times New Roman" w:hAnsi="Times New Roman" w:cs="Times New Roman"/>
          <w:sz w:val="28"/>
          <w:szCs w:val="28"/>
        </w:rPr>
        <w:t>,</w:t>
      </w:r>
    </w:p>
    <w:p w:rsidR="00182D76" w:rsidRPr="00C637B5" w:rsidRDefault="00C637B5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182D76">
        <w:rPr>
          <w:rFonts w:ascii="Times New Roman" w:hAnsi="Times New Roman" w:cs="Times New Roman"/>
          <w:sz w:val="28"/>
          <w:szCs w:val="28"/>
        </w:rPr>
        <w:t xml:space="preserve"> организовано с</w:t>
      </w:r>
      <w:r w:rsidR="00182D76" w:rsidRPr="00182D76">
        <w:rPr>
          <w:rFonts w:ascii="Times New Roman" w:hAnsi="Times New Roman" w:cs="Times New Roman"/>
          <w:sz w:val="28"/>
          <w:szCs w:val="28"/>
        </w:rPr>
        <w:t>одержание и текущий ремонт скамей, урн</w:t>
      </w:r>
      <w:r w:rsidR="00182D76">
        <w:rPr>
          <w:rFonts w:ascii="Times New Roman" w:hAnsi="Times New Roman" w:cs="Times New Roman"/>
          <w:sz w:val="28"/>
          <w:szCs w:val="28"/>
        </w:rPr>
        <w:t xml:space="preserve"> на территории города, </w:t>
      </w:r>
      <w:r w:rsidR="00182D76" w:rsidRPr="00182D76">
        <w:rPr>
          <w:rFonts w:ascii="Times New Roman" w:hAnsi="Times New Roman" w:cs="Times New Roman"/>
          <w:sz w:val="28"/>
          <w:szCs w:val="28"/>
        </w:rPr>
        <w:t>содержание</w:t>
      </w:r>
      <w:r w:rsidR="00182D76">
        <w:rPr>
          <w:rFonts w:ascii="Times New Roman" w:hAnsi="Times New Roman" w:cs="Times New Roman"/>
          <w:sz w:val="28"/>
          <w:szCs w:val="28"/>
        </w:rPr>
        <w:t xml:space="preserve"> </w:t>
      </w:r>
      <w:r w:rsidR="00182D76" w:rsidRPr="00182D76">
        <w:rPr>
          <w:rFonts w:ascii="Times New Roman" w:hAnsi="Times New Roman" w:cs="Times New Roman"/>
          <w:sz w:val="28"/>
          <w:szCs w:val="28"/>
        </w:rPr>
        <w:t xml:space="preserve">фонтана пл. </w:t>
      </w:r>
      <w:r w:rsidR="00182D76" w:rsidRPr="00841889">
        <w:rPr>
          <w:rFonts w:ascii="Times New Roman" w:hAnsi="Times New Roman" w:cs="Times New Roman"/>
          <w:sz w:val="28"/>
          <w:szCs w:val="28"/>
        </w:rPr>
        <w:t>Королева</w:t>
      </w:r>
      <w:r w:rsidRPr="00841889">
        <w:rPr>
          <w:rFonts w:ascii="Times New Roman" w:hAnsi="Times New Roman" w:cs="Times New Roman"/>
          <w:sz w:val="28"/>
          <w:szCs w:val="28"/>
        </w:rPr>
        <w:t>;</w:t>
      </w:r>
    </w:p>
    <w:p w:rsidR="00182D76" w:rsidRPr="00C637B5" w:rsidRDefault="00182D76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 д</w:t>
      </w:r>
      <w:r w:rsidRPr="00182D76">
        <w:rPr>
          <w:rFonts w:ascii="Times New Roman" w:hAnsi="Times New Roman" w:cs="Times New Roman"/>
          <w:sz w:val="28"/>
          <w:szCs w:val="28"/>
        </w:rPr>
        <w:t xml:space="preserve">емонтаж </w:t>
      </w:r>
      <w:r w:rsidR="00C637B5">
        <w:rPr>
          <w:rFonts w:ascii="Times New Roman" w:hAnsi="Times New Roman" w:cs="Times New Roman"/>
          <w:sz w:val="28"/>
          <w:szCs w:val="28"/>
        </w:rPr>
        <w:t xml:space="preserve">28 </w:t>
      </w:r>
      <w:r w:rsidRPr="00182D76">
        <w:rPr>
          <w:rFonts w:ascii="Times New Roman" w:hAnsi="Times New Roman" w:cs="Times New Roman"/>
          <w:sz w:val="28"/>
          <w:szCs w:val="28"/>
        </w:rPr>
        <w:t>рекламных конструкций, установленных и (или) эксплуатируемых без разрешений, срок действия которых не истек</w:t>
      </w:r>
      <w:r w:rsidR="00EB5864">
        <w:rPr>
          <w:rFonts w:ascii="Times New Roman" w:hAnsi="Times New Roman" w:cs="Times New Roman"/>
          <w:sz w:val="28"/>
          <w:szCs w:val="28"/>
        </w:rPr>
        <w:t>,</w:t>
      </w:r>
      <w:r w:rsidR="00456C93">
        <w:rPr>
          <w:rFonts w:ascii="Times New Roman" w:hAnsi="Times New Roman" w:cs="Times New Roman"/>
          <w:sz w:val="28"/>
          <w:szCs w:val="28"/>
        </w:rPr>
        <w:t xml:space="preserve"> </w:t>
      </w:r>
      <w:r w:rsidR="00456C93" w:rsidRPr="00C637B5">
        <w:rPr>
          <w:rFonts w:ascii="Times New Roman" w:hAnsi="Times New Roman" w:cs="Times New Roman"/>
          <w:sz w:val="28"/>
          <w:szCs w:val="28"/>
        </w:rPr>
        <w:t>(</w:t>
      </w:r>
      <w:r w:rsidR="00C637B5" w:rsidRPr="00C637B5">
        <w:rPr>
          <w:rFonts w:ascii="Times New Roman" w:hAnsi="Times New Roman" w:cs="Times New Roman"/>
          <w:sz w:val="28"/>
          <w:szCs w:val="28"/>
        </w:rPr>
        <w:t>16 401,04 руб.</w:t>
      </w:r>
      <w:r w:rsidR="00456C93" w:rsidRPr="00C637B5">
        <w:rPr>
          <w:rFonts w:ascii="Times New Roman" w:hAnsi="Times New Roman" w:cs="Times New Roman"/>
          <w:sz w:val="28"/>
          <w:szCs w:val="28"/>
        </w:rPr>
        <w:t>)</w:t>
      </w:r>
      <w:r w:rsidR="00C637B5" w:rsidRPr="00C637B5">
        <w:rPr>
          <w:rFonts w:ascii="Times New Roman" w:hAnsi="Times New Roman" w:cs="Times New Roman"/>
          <w:sz w:val="28"/>
          <w:szCs w:val="28"/>
        </w:rPr>
        <w:t>.</w:t>
      </w:r>
    </w:p>
    <w:p w:rsidR="00C637B5" w:rsidRPr="00C637B5" w:rsidRDefault="00C637B5" w:rsidP="00456C9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637B5">
        <w:rPr>
          <w:rFonts w:ascii="Times New Roman" w:hAnsi="Times New Roman"/>
          <w:sz w:val="28"/>
          <w:szCs w:val="28"/>
        </w:rPr>
        <w:t>- организовано содержание территорий общего пользования (газоны, тр</w:t>
      </w:r>
      <w:r w:rsidRPr="00C637B5">
        <w:rPr>
          <w:rFonts w:ascii="Times New Roman" w:hAnsi="Times New Roman"/>
          <w:sz w:val="28"/>
          <w:szCs w:val="28"/>
        </w:rPr>
        <w:t>о</w:t>
      </w:r>
      <w:r w:rsidRPr="00C637B5">
        <w:rPr>
          <w:rFonts w:ascii="Times New Roman" w:hAnsi="Times New Roman"/>
          <w:sz w:val="28"/>
          <w:szCs w:val="28"/>
        </w:rPr>
        <w:t>туары) на внутриквартальных территориях, не закрепленных за многокварти</w:t>
      </w:r>
      <w:r w:rsidRPr="00C637B5">
        <w:rPr>
          <w:rFonts w:ascii="Times New Roman" w:hAnsi="Times New Roman"/>
          <w:sz w:val="28"/>
          <w:szCs w:val="28"/>
        </w:rPr>
        <w:t>р</w:t>
      </w:r>
      <w:r w:rsidRPr="00C637B5">
        <w:rPr>
          <w:rFonts w:ascii="Times New Roman" w:hAnsi="Times New Roman"/>
          <w:sz w:val="28"/>
          <w:szCs w:val="28"/>
        </w:rPr>
        <w:t>ными домами общей площадью 829,7 тыс. кв.м., 15 детских игровых городков (26 616 696,90 руб.).</w:t>
      </w:r>
    </w:p>
    <w:p w:rsidR="00656D01" w:rsidRPr="00C637B5" w:rsidRDefault="00182D76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B5">
        <w:rPr>
          <w:rFonts w:ascii="Times New Roman" w:hAnsi="Times New Roman" w:cs="Times New Roman"/>
          <w:sz w:val="28"/>
          <w:szCs w:val="28"/>
        </w:rPr>
        <w:t>Все вышесказанное позволяет судить о том, что цели, поставленные в программе и нашедшие свое отражение в виде мероприятий программы</w:t>
      </w:r>
      <w:r w:rsidR="00590B39" w:rsidRPr="00C637B5">
        <w:rPr>
          <w:rFonts w:ascii="Times New Roman" w:hAnsi="Times New Roman" w:cs="Times New Roman"/>
          <w:sz w:val="28"/>
          <w:szCs w:val="28"/>
        </w:rPr>
        <w:t>,</w:t>
      </w:r>
      <w:r w:rsidRPr="00C637B5">
        <w:rPr>
          <w:rFonts w:ascii="Times New Roman" w:hAnsi="Times New Roman" w:cs="Times New Roman"/>
          <w:sz w:val="28"/>
          <w:szCs w:val="28"/>
        </w:rPr>
        <w:t xml:space="preserve"> до</w:t>
      </w:r>
      <w:r w:rsidRPr="00C637B5">
        <w:rPr>
          <w:rFonts w:ascii="Times New Roman" w:hAnsi="Times New Roman" w:cs="Times New Roman"/>
          <w:sz w:val="28"/>
          <w:szCs w:val="28"/>
        </w:rPr>
        <w:t>с</w:t>
      </w:r>
      <w:r w:rsidRPr="00C637B5">
        <w:rPr>
          <w:rFonts w:ascii="Times New Roman" w:hAnsi="Times New Roman" w:cs="Times New Roman"/>
          <w:sz w:val="28"/>
          <w:szCs w:val="28"/>
        </w:rPr>
        <w:t>тигнуты.</w:t>
      </w:r>
    </w:p>
    <w:p w:rsidR="00C637B5" w:rsidRDefault="00C637B5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D01" w:rsidRDefault="00C637B5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результативности программы достигнуты в полном </w:t>
      </w:r>
      <w:r w:rsidR="00170BBB">
        <w:rPr>
          <w:rFonts w:ascii="Times New Roman" w:hAnsi="Times New Roman" w:cs="Times New Roman"/>
          <w:sz w:val="28"/>
          <w:szCs w:val="28"/>
        </w:rPr>
        <w:t>объеме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4"/>
        <w:gridCol w:w="964"/>
        <w:gridCol w:w="1333"/>
        <w:gridCol w:w="900"/>
      </w:tblGrid>
      <w:tr w:rsidR="00C637B5" w:rsidRPr="00C637B5" w:rsidTr="00C637B5">
        <w:trPr>
          <w:trHeight w:val="64"/>
        </w:trPr>
        <w:tc>
          <w:tcPr>
            <w:tcW w:w="6554" w:type="dxa"/>
            <w:vMerge w:val="restart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Цели, задачи, показатели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Един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и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ца и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з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мер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е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ния</w:t>
            </w:r>
          </w:p>
        </w:tc>
        <w:tc>
          <w:tcPr>
            <w:tcW w:w="2233" w:type="dxa"/>
            <w:gridSpan w:val="2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2020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br/>
              <w:t>(</w:t>
            </w:r>
            <w:r>
              <w:rPr>
                <w:rFonts w:ascii="Times" w:eastAsia="Times New Roman" w:hAnsi="Times" w:cs="Times"/>
                <w:color w:val="000000"/>
                <w:lang w:eastAsia="ru-RU"/>
              </w:rPr>
              <w:t>отчетный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 xml:space="preserve"> год)</w:t>
            </w:r>
          </w:p>
        </w:tc>
      </w:tr>
      <w:tr w:rsidR="00C637B5" w:rsidRPr="00C637B5" w:rsidTr="00C637B5">
        <w:trPr>
          <w:trHeight w:val="96"/>
        </w:trPr>
        <w:tc>
          <w:tcPr>
            <w:tcW w:w="6554" w:type="dxa"/>
            <w:vMerge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2233" w:type="dxa"/>
            <w:gridSpan w:val="2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Отчетный период январь - декабрь</w:t>
            </w:r>
          </w:p>
        </w:tc>
      </w:tr>
      <w:tr w:rsidR="00C637B5" w:rsidRPr="00C637B5" w:rsidTr="00C637B5">
        <w:trPr>
          <w:trHeight w:val="285"/>
        </w:trPr>
        <w:tc>
          <w:tcPr>
            <w:tcW w:w="6554" w:type="dxa"/>
            <w:vMerge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план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факт</w:t>
            </w:r>
          </w:p>
        </w:tc>
      </w:tr>
      <w:tr w:rsidR="00C637B5" w:rsidRPr="00C637B5" w:rsidTr="00C637B5">
        <w:trPr>
          <w:trHeight w:val="732"/>
        </w:trPr>
        <w:tc>
          <w:tcPr>
            <w:tcW w:w="6554" w:type="dxa"/>
            <w:vMerge w:val="restart"/>
            <w:shd w:val="clear" w:color="auto" w:fill="auto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Целевой показатель 1. Протяженность автомобильных дорог о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б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щего пользования местного значения, работы по содержанию к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о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торых выполняются в объеме действующих нормативов (допуст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и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мый уровень) и их удельный вес с общей протяженности автом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о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бильных дорог, на которых производится комплекс работ по с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о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держанию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%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C637B5" w:rsidRPr="00C637B5" w:rsidTr="00C637B5">
        <w:trPr>
          <w:trHeight w:val="559"/>
        </w:trPr>
        <w:tc>
          <w:tcPr>
            <w:tcW w:w="6554" w:type="dxa"/>
            <w:vMerge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км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190,1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lang w:eastAsia="ru-RU"/>
              </w:rPr>
              <w:t>190,10</w:t>
            </w:r>
          </w:p>
        </w:tc>
      </w:tr>
      <w:tr w:rsidR="00C637B5" w:rsidRPr="00C637B5" w:rsidTr="00C637B5">
        <w:trPr>
          <w:trHeight w:val="64"/>
        </w:trPr>
        <w:tc>
          <w:tcPr>
            <w:tcW w:w="6554" w:type="dxa"/>
            <w:shd w:val="clear" w:color="auto" w:fill="auto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Целевой показатель 2. Доля населения, проживающего в населе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н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ных пунктах, обеспеченных регулярным автобусным сообщением с административным центром, в общей численности населения городского округа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км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C637B5" w:rsidRPr="00C637B5" w:rsidTr="00C637B5">
        <w:trPr>
          <w:trHeight w:val="64"/>
        </w:trPr>
        <w:tc>
          <w:tcPr>
            <w:tcW w:w="655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7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протяженности отремонтированных дорог к общей протяженности дорог общего пользования местного значения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%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0,71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lang w:eastAsia="ru-RU"/>
              </w:rPr>
              <w:t>0,71</w:t>
            </w:r>
          </w:p>
        </w:tc>
      </w:tr>
      <w:tr w:rsidR="00C637B5" w:rsidRPr="00C637B5" w:rsidTr="00C637B5">
        <w:trPr>
          <w:trHeight w:val="64"/>
        </w:trPr>
        <w:tc>
          <w:tcPr>
            <w:tcW w:w="655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7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количества автобусных  остановок, оборудованных павильонами ожидания, к общему количеству остановок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%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82,90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lang w:eastAsia="ru-RU"/>
              </w:rPr>
              <w:t>82,9</w:t>
            </w:r>
          </w:p>
        </w:tc>
      </w:tr>
      <w:tr w:rsidR="00C637B5" w:rsidRPr="00C637B5" w:rsidTr="00C637B5">
        <w:trPr>
          <w:trHeight w:val="64"/>
        </w:trPr>
        <w:tc>
          <w:tcPr>
            <w:tcW w:w="655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7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количества пешеходных переходов вблизи образов</w:t>
            </w:r>
            <w:r w:rsidRPr="00C637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C637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учреждений, оборудованных светофорами Т.7, к общему количеству пешеходных переходов вблизи образовательных учр</w:t>
            </w:r>
            <w:r w:rsidRPr="00C637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C637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%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95,2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95,2</w:t>
            </w:r>
          </w:p>
        </w:tc>
      </w:tr>
      <w:tr w:rsidR="00C637B5" w:rsidRPr="00C637B5" w:rsidTr="00C637B5">
        <w:trPr>
          <w:trHeight w:val="64"/>
        </w:trPr>
        <w:tc>
          <w:tcPr>
            <w:tcW w:w="655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7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совершенных ДТП с пострадавшими, не более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ед.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не более 72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66</w:t>
            </w:r>
          </w:p>
        </w:tc>
      </w:tr>
      <w:tr w:rsidR="00C637B5" w:rsidRPr="00C637B5" w:rsidTr="00C637B5">
        <w:trPr>
          <w:trHeight w:val="64"/>
        </w:trPr>
        <w:tc>
          <w:tcPr>
            <w:tcW w:w="655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Доля населения, проживающего в населенных пунктах, не име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ю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щих регулярного автобусного сообщения с административным центром, в общей численности населения городского округа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%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0</w:t>
            </w:r>
          </w:p>
        </w:tc>
      </w:tr>
      <w:tr w:rsidR="00C637B5" w:rsidRPr="00C637B5" w:rsidTr="00C637B5">
        <w:trPr>
          <w:trHeight w:val="64"/>
        </w:trPr>
        <w:tc>
          <w:tcPr>
            <w:tcW w:w="655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Отношение программы перевозки к количеству фактически пер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е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везенных пассажиров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км/чел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0,713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0,713</w:t>
            </w:r>
          </w:p>
        </w:tc>
      </w:tr>
      <w:tr w:rsidR="00C637B5" w:rsidRPr="00C637B5" w:rsidTr="00C637B5">
        <w:trPr>
          <w:trHeight w:val="64"/>
        </w:trPr>
        <w:tc>
          <w:tcPr>
            <w:tcW w:w="655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Доля сетей уличного освещения, работы по содержанию которых выполняются в объеме действующих нормативов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%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C637B5" w:rsidRPr="00C637B5" w:rsidTr="00C637B5">
        <w:trPr>
          <w:trHeight w:val="64"/>
        </w:trPr>
        <w:tc>
          <w:tcPr>
            <w:tcW w:w="655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both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Доля площади территории города, на которой выполняются раб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о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ты по содержанию и благоустройству территорий общего польз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о</w:t>
            </w: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вания, по отношению к общей площади земель поселений ЗАТО Железногорск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color w:val="000000"/>
                <w:lang w:eastAsia="ru-RU"/>
              </w:rPr>
              <w:t>%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9,24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C637B5" w:rsidRPr="00C637B5" w:rsidRDefault="00C637B5" w:rsidP="00C637B5">
            <w:pPr>
              <w:spacing w:after="0" w:line="240" w:lineRule="auto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</w:pPr>
            <w:r w:rsidRPr="00C637B5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9,37</w:t>
            </w:r>
          </w:p>
        </w:tc>
      </w:tr>
    </w:tbl>
    <w:p w:rsidR="00656D01" w:rsidRDefault="00C637B5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B5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последнего </w:t>
      </w:r>
      <w:r w:rsidRPr="00C637B5">
        <w:rPr>
          <w:rFonts w:ascii="Times New Roman" w:hAnsi="Times New Roman" w:cs="Times New Roman"/>
          <w:sz w:val="28"/>
          <w:szCs w:val="28"/>
        </w:rPr>
        <w:t>показателя произошло по причине проведения инвентаризации территорий общего пользования и уточнения их площадей (п</w:t>
      </w:r>
      <w:r w:rsidRPr="00C637B5">
        <w:rPr>
          <w:rFonts w:ascii="Times New Roman" w:hAnsi="Times New Roman" w:cs="Times New Roman"/>
          <w:sz w:val="28"/>
          <w:szCs w:val="28"/>
        </w:rPr>
        <w:t>о</w:t>
      </w:r>
      <w:r w:rsidRPr="00C637B5">
        <w:rPr>
          <w:rFonts w:ascii="Times New Roman" w:hAnsi="Times New Roman" w:cs="Times New Roman"/>
          <w:sz w:val="28"/>
          <w:szCs w:val="28"/>
        </w:rPr>
        <w:t>становление Администрации ЗАТО г. Железногорск от 16.12.2020 №2365)</w:t>
      </w:r>
    </w:p>
    <w:p w:rsidR="00656D01" w:rsidRDefault="00656D01" w:rsidP="00456C9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D76" w:rsidRPr="006D1FE3" w:rsidRDefault="00C637B5" w:rsidP="00456C9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А.Ф. Тельманова</w:t>
      </w:r>
    </w:p>
    <w:sectPr w:rsidR="00182D76" w:rsidRPr="006D1FE3" w:rsidSect="00182D7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201426"/>
    <w:rsid w:val="00011DDD"/>
    <w:rsid w:val="00012756"/>
    <w:rsid w:val="000243D6"/>
    <w:rsid w:val="000324E9"/>
    <w:rsid w:val="000350A8"/>
    <w:rsid w:val="000638E2"/>
    <w:rsid w:val="00093B45"/>
    <w:rsid w:val="00095BB7"/>
    <w:rsid w:val="00095E96"/>
    <w:rsid w:val="000B11B2"/>
    <w:rsid w:val="000E46D3"/>
    <w:rsid w:val="00170BBB"/>
    <w:rsid w:val="00172F08"/>
    <w:rsid w:val="00182D76"/>
    <w:rsid w:val="001923F4"/>
    <w:rsid w:val="001A6FDD"/>
    <w:rsid w:val="001A7ECF"/>
    <w:rsid w:val="00201426"/>
    <w:rsid w:val="0022688C"/>
    <w:rsid w:val="0025026B"/>
    <w:rsid w:val="00281C30"/>
    <w:rsid w:val="002C61A2"/>
    <w:rsid w:val="002F5D89"/>
    <w:rsid w:val="00303426"/>
    <w:rsid w:val="0032683D"/>
    <w:rsid w:val="00350276"/>
    <w:rsid w:val="003507F5"/>
    <w:rsid w:val="003C373A"/>
    <w:rsid w:val="003C4903"/>
    <w:rsid w:val="003E1B82"/>
    <w:rsid w:val="003E73C8"/>
    <w:rsid w:val="003F0BFC"/>
    <w:rsid w:val="004127A5"/>
    <w:rsid w:val="0043099C"/>
    <w:rsid w:val="00436034"/>
    <w:rsid w:val="00451AF5"/>
    <w:rsid w:val="004563C2"/>
    <w:rsid w:val="00456C93"/>
    <w:rsid w:val="00472086"/>
    <w:rsid w:val="004759F9"/>
    <w:rsid w:val="004B5B79"/>
    <w:rsid w:val="004E6045"/>
    <w:rsid w:val="005070DE"/>
    <w:rsid w:val="00577597"/>
    <w:rsid w:val="005845B8"/>
    <w:rsid w:val="00590B39"/>
    <w:rsid w:val="005E1091"/>
    <w:rsid w:val="00611E9A"/>
    <w:rsid w:val="00641252"/>
    <w:rsid w:val="00656D01"/>
    <w:rsid w:val="006876CA"/>
    <w:rsid w:val="006A1511"/>
    <w:rsid w:val="006C01C0"/>
    <w:rsid w:val="006D1FE3"/>
    <w:rsid w:val="006D27A4"/>
    <w:rsid w:val="006D39F9"/>
    <w:rsid w:val="006F5191"/>
    <w:rsid w:val="006F7FFA"/>
    <w:rsid w:val="00711AB1"/>
    <w:rsid w:val="007120B8"/>
    <w:rsid w:val="007324EA"/>
    <w:rsid w:val="00735E16"/>
    <w:rsid w:val="00740072"/>
    <w:rsid w:val="00762784"/>
    <w:rsid w:val="00773FF8"/>
    <w:rsid w:val="007832DB"/>
    <w:rsid w:val="0078766B"/>
    <w:rsid w:val="007A63B2"/>
    <w:rsid w:val="007A7968"/>
    <w:rsid w:val="007C137A"/>
    <w:rsid w:val="007E0566"/>
    <w:rsid w:val="007F1FB8"/>
    <w:rsid w:val="00841889"/>
    <w:rsid w:val="00846E83"/>
    <w:rsid w:val="008919D5"/>
    <w:rsid w:val="00894F10"/>
    <w:rsid w:val="008954E3"/>
    <w:rsid w:val="008A34CC"/>
    <w:rsid w:val="008C70C3"/>
    <w:rsid w:val="009037F9"/>
    <w:rsid w:val="009463E1"/>
    <w:rsid w:val="00952A16"/>
    <w:rsid w:val="009828FF"/>
    <w:rsid w:val="00984480"/>
    <w:rsid w:val="009959E2"/>
    <w:rsid w:val="009D4C5B"/>
    <w:rsid w:val="009D593E"/>
    <w:rsid w:val="009F4A15"/>
    <w:rsid w:val="009F560C"/>
    <w:rsid w:val="00A4379A"/>
    <w:rsid w:val="00A63FEB"/>
    <w:rsid w:val="00A64B19"/>
    <w:rsid w:val="00AA2053"/>
    <w:rsid w:val="00B075C0"/>
    <w:rsid w:val="00B20380"/>
    <w:rsid w:val="00B2236B"/>
    <w:rsid w:val="00B31A71"/>
    <w:rsid w:val="00B35A3A"/>
    <w:rsid w:val="00B56F24"/>
    <w:rsid w:val="00B62FA2"/>
    <w:rsid w:val="00B945EF"/>
    <w:rsid w:val="00BA5971"/>
    <w:rsid w:val="00C00F38"/>
    <w:rsid w:val="00C078DA"/>
    <w:rsid w:val="00C4022E"/>
    <w:rsid w:val="00C4079C"/>
    <w:rsid w:val="00C50067"/>
    <w:rsid w:val="00C637B5"/>
    <w:rsid w:val="00CB711D"/>
    <w:rsid w:val="00CC0067"/>
    <w:rsid w:val="00CC7F04"/>
    <w:rsid w:val="00CE37E0"/>
    <w:rsid w:val="00CF1A14"/>
    <w:rsid w:val="00D3669D"/>
    <w:rsid w:val="00D64629"/>
    <w:rsid w:val="00D67EE2"/>
    <w:rsid w:val="00D7636F"/>
    <w:rsid w:val="00DB1FF5"/>
    <w:rsid w:val="00DC582F"/>
    <w:rsid w:val="00DC5EEE"/>
    <w:rsid w:val="00DE1EF1"/>
    <w:rsid w:val="00E30999"/>
    <w:rsid w:val="00E44EAC"/>
    <w:rsid w:val="00E46C47"/>
    <w:rsid w:val="00E87418"/>
    <w:rsid w:val="00EA509E"/>
    <w:rsid w:val="00EB5864"/>
    <w:rsid w:val="00EB6F32"/>
    <w:rsid w:val="00ED5BA9"/>
    <w:rsid w:val="00EE120B"/>
    <w:rsid w:val="00F162DF"/>
    <w:rsid w:val="00F540D5"/>
    <w:rsid w:val="00F5555C"/>
    <w:rsid w:val="00FA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3F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51AF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Основной текст_"/>
    <w:basedOn w:val="a0"/>
    <w:link w:val="2"/>
    <w:rsid w:val="006D1F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6D1FE3"/>
    <w:pPr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9FAC8-6125-43C7-8023-EC169EDE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Масалов Ю.С.</cp:lastModifiedBy>
  <cp:revision>10</cp:revision>
  <cp:lastPrinted>2021-02-19T10:41:00Z</cp:lastPrinted>
  <dcterms:created xsi:type="dcterms:W3CDTF">2021-02-18T10:07:00Z</dcterms:created>
  <dcterms:modified xsi:type="dcterms:W3CDTF">2021-04-23T01:29:00Z</dcterms:modified>
</cp:coreProperties>
</file>